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ind w:left="0"/>
        <w:rPr>
          <w:rFonts w:ascii="Times New Roman"/>
          <w:sz w:val="20"/>
        </w:rPr>
      </w:pPr>
      <w:bookmarkStart w:id="48" w:name="_GoBack"/>
      <w:bookmarkEnd w:id="48"/>
      <w:bookmarkStart w:id="0" w:name="22"/>
      <w:bookmarkEnd w:id="0"/>
      <w:r>
        <w:rPr>
          <w:rFonts w:ascii="Times New Roman"/>
          <w:sz w:val="20"/>
        </w:rPr>
        <w:drawing>
          <wp:inline distT="0" distB="0" distL="0" distR="0">
            <wp:extent cx="7327900" cy="993838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7" cstate="print"/>
                    <a:stretch>
                      <a:fillRect/>
                    </a:stretch>
                  </pic:blipFill>
                  <pic:spPr>
                    <a:xfrm>
                      <a:off x="0" y="0"/>
                      <a:ext cx="7327979" cy="9938956"/>
                    </a:xfrm>
                    <a:prstGeom prst="rect">
                      <a:avLst/>
                    </a:prstGeom>
                  </pic:spPr>
                </pic:pic>
              </a:graphicData>
            </a:graphic>
          </wp:inline>
        </w:drawing>
      </w:r>
    </w:p>
    <w:p>
      <w:pPr>
        <w:spacing w:after="0"/>
        <w:rPr>
          <w:rFonts w:ascii="Times New Roman"/>
          <w:sz w:val="20"/>
        </w:rPr>
        <w:sectPr>
          <w:type w:val="continuous"/>
          <w:pgSz w:w="11910" w:h="16840"/>
          <w:pgMar w:top="340" w:right="0" w:bottom="0" w:left="0" w:header="720" w:footer="720" w:gutter="0"/>
          <w:cols w:space="720" w:num="1"/>
        </w:sectPr>
      </w:pPr>
    </w:p>
    <w:p>
      <w:pPr>
        <w:pStyle w:val="3"/>
        <w:spacing w:before="0"/>
        <w:ind w:left="1792"/>
        <w:rPr>
          <w:rFonts w:ascii="Times New Roman"/>
          <w:sz w:val="20"/>
        </w:rPr>
      </w:pPr>
      <w:r>
        <w:rPr>
          <w:rFonts w:ascii="Times New Roman"/>
          <w:sz w:val="20"/>
        </w:rPr>
        <w:pict>
          <v:group id="_x0000_s1026" o:spid="_x0000_s1026" o:spt="203" style="height:31.45pt;width:415.3pt;" coordsize="8306,629">
            <o:lock v:ext="edit"/>
            <v:shape id="_x0000_s1027" o:spid="_x0000_s1027" o:spt="75" type="#_x0000_t75" style="position:absolute;left:395;top:0;height:566;width:1301;" filled="f" stroked="f" coordsize="21600,21600">
              <v:path/>
              <v:fill on="f" focussize="0,0"/>
              <v:stroke on="f"/>
              <v:imagedata r:id="rId18" o:title=""/>
              <o:lock v:ext="edit" aspectratio="t"/>
            </v:shape>
            <v:line id="_x0000_s1028" o:spid="_x0000_s1028" o:spt="20" style="position:absolute;left:0;top:621;height:0;width:8306;" stroked="t" coordsize="21600,21600">
              <v:path arrowok="t"/>
              <v:fill focussize="0,0"/>
              <v:stroke weight="0.72pt" color="#000000"/>
              <v:imagedata o:title=""/>
              <o:lock v:ext="edit"/>
            </v:line>
            <w10:wrap type="none"/>
            <w10:anchorlock/>
          </v:group>
        </w:pict>
      </w:r>
    </w:p>
    <w:p>
      <w:pPr>
        <w:pStyle w:val="3"/>
        <w:spacing w:before="0"/>
        <w:ind w:left="0"/>
        <w:rPr>
          <w:rFonts w:ascii="Times New Roman"/>
          <w:sz w:val="20"/>
        </w:rPr>
      </w:pPr>
    </w:p>
    <w:p>
      <w:pPr>
        <w:pStyle w:val="3"/>
        <w:spacing w:before="0"/>
        <w:ind w:left="0"/>
        <w:rPr>
          <w:rFonts w:ascii="Times New Roman"/>
        </w:rPr>
      </w:pPr>
    </w:p>
    <w:p>
      <w:pPr>
        <w:spacing w:before="54"/>
        <w:ind w:left="0" w:right="0" w:firstLine="0"/>
        <w:jc w:val="center"/>
        <w:rPr>
          <w:b/>
          <w:sz w:val="32"/>
        </w:rPr>
      </w:pPr>
      <w:bookmarkStart w:id="1" w:name="并购重组税收政策解读汇编（-2021.7.23)"/>
      <w:bookmarkEnd w:id="1"/>
      <w:r>
        <w:rPr>
          <w:b/>
          <w:sz w:val="32"/>
        </w:rPr>
        <w:t>目录</w:t>
      </w:r>
    </w:p>
    <w:sdt>
      <w:sdtPr>
        <w:id w:val="1"/>
        <w:docPartObj>
          <w:docPartGallery w:val="Table of Contents"/>
          <w:docPartUnique/>
        </w:docPartObj>
      </w:sdtPr>
      <w:sdtContent>
        <w:p>
          <w:pPr>
            <w:pStyle w:val="4"/>
            <w:tabs>
              <w:tab w:val="left" w:pos="3119"/>
              <w:tab w:val="right" w:leader="dot" w:pos="10095"/>
            </w:tabs>
            <w:spacing w:before="510"/>
            <w:rPr>
              <w:rFonts w:ascii="Calibri" w:eastAsia="Calibri"/>
            </w:rPr>
          </w:pPr>
          <w:r>
            <w:fldChar w:fldCharType="begin"/>
          </w:r>
          <w:r>
            <w:instrText xml:space="preserve"> HYPERLINK \l "_bookmark0" </w:instrText>
          </w:r>
          <w:r>
            <w:fldChar w:fldCharType="separate"/>
          </w:r>
          <w:r>
            <w:t>第一部份</w:t>
          </w:r>
          <w:r>
            <w:tab/>
          </w:r>
          <w:r>
            <w:t>增值税</w:t>
          </w:r>
          <w:r>
            <w:tab/>
          </w:r>
          <w:r>
            <w:rPr>
              <w:rFonts w:ascii="Calibri" w:eastAsia="Calibri"/>
            </w:rPr>
            <w:t>1</w:t>
          </w:r>
          <w:r>
            <w:rPr>
              <w:rFonts w:ascii="Calibri" w:eastAsia="Calibri"/>
            </w:rPr>
            <w:fldChar w:fldCharType="end"/>
          </w:r>
        </w:p>
        <w:p>
          <w:pPr>
            <w:pStyle w:val="4"/>
            <w:tabs>
              <w:tab w:val="left" w:pos="3119"/>
              <w:tab w:val="right" w:leader="dot" w:pos="10095"/>
            </w:tabs>
            <w:rPr>
              <w:rFonts w:ascii="Calibri" w:eastAsia="Calibri"/>
            </w:rPr>
          </w:pPr>
          <w:r>
            <w:fldChar w:fldCharType="begin"/>
          </w:r>
          <w:r>
            <w:instrText xml:space="preserve"> HYPERLINK \l "_bookmark1" </w:instrText>
          </w:r>
          <w:r>
            <w:fldChar w:fldCharType="separate"/>
          </w:r>
          <w:r>
            <w:t>第二部份</w:t>
          </w:r>
          <w:r>
            <w:tab/>
          </w:r>
          <w:r>
            <w:t>契税</w:t>
          </w:r>
          <w:r>
            <w:tab/>
          </w:r>
          <w:r>
            <w:rPr>
              <w:rFonts w:ascii="Calibri" w:eastAsia="Calibri"/>
            </w:rPr>
            <w:t>3</w:t>
          </w:r>
          <w:r>
            <w:rPr>
              <w:rFonts w:ascii="Calibri" w:eastAsia="Calibri"/>
            </w:rPr>
            <w:fldChar w:fldCharType="end"/>
          </w:r>
        </w:p>
        <w:p>
          <w:pPr>
            <w:pStyle w:val="4"/>
            <w:tabs>
              <w:tab w:val="left" w:pos="3119"/>
              <w:tab w:val="right" w:leader="dot" w:pos="10095"/>
            </w:tabs>
            <w:spacing w:before="181"/>
            <w:rPr>
              <w:rFonts w:ascii="Calibri" w:eastAsia="Calibri"/>
            </w:rPr>
          </w:pPr>
          <w:r>
            <w:fldChar w:fldCharType="begin"/>
          </w:r>
          <w:r>
            <w:instrText xml:space="preserve"> HYPERLINK \l "_bookmark2" </w:instrText>
          </w:r>
          <w:r>
            <w:fldChar w:fldCharType="separate"/>
          </w:r>
          <w:r>
            <w:t>第三部份</w:t>
          </w:r>
          <w:r>
            <w:tab/>
          </w:r>
          <w:r>
            <w:t>土地增值税</w:t>
          </w:r>
          <w:r>
            <w:tab/>
          </w:r>
          <w:r>
            <w:rPr>
              <w:rFonts w:ascii="Calibri" w:eastAsia="Calibri"/>
            </w:rPr>
            <w:t>6</w:t>
          </w:r>
          <w:r>
            <w:rPr>
              <w:rFonts w:ascii="Calibri" w:eastAsia="Calibri"/>
            </w:rPr>
            <w:fldChar w:fldCharType="end"/>
          </w:r>
        </w:p>
        <w:p>
          <w:pPr>
            <w:pStyle w:val="4"/>
            <w:tabs>
              <w:tab w:val="left" w:pos="3119"/>
              <w:tab w:val="right" w:leader="dot" w:pos="10095"/>
            </w:tabs>
            <w:rPr>
              <w:rFonts w:ascii="Calibri" w:eastAsia="Calibri"/>
            </w:rPr>
          </w:pPr>
          <w:r>
            <w:fldChar w:fldCharType="begin"/>
          </w:r>
          <w:r>
            <w:instrText xml:space="preserve"> HYPERLINK \l "_bookmark3" </w:instrText>
          </w:r>
          <w:r>
            <w:fldChar w:fldCharType="separate"/>
          </w:r>
          <w:r>
            <w:t>第四部份</w:t>
          </w:r>
          <w:r>
            <w:tab/>
          </w:r>
          <w:r>
            <w:t>印花税</w:t>
          </w:r>
          <w:r>
            <w:tab/>
          </w:r>
          <w:r>
            <w:rPr>
              <w:rFonts w:ascii="Calibri" w:eastAsia="Calibri"/>
            </w:rPr>
            <w:t>8</w:t>
          </w:r>
          <w:r>
            <w:rPr>
              <w:rFonts w:ascii="Calibri" w:eastAsia="Calibri"/>
            </w:rPr>
            <w:fldChar w:fldCharType="end"/>
          </w:r>
        </w:p>
        <w:p>
          <w:pPr>
            <w:pStyle w:val="4"/>
            <w:tabs>
              <w:tab w:val="left" w:pos="3119"/>
              <w:tab w:val="right" w:leader="dot" w:pos="10095"/>
            </w:tabs>
            <w:rPr>
              <w:rFonts w:ascii="Calibri" w:eastAsia="Calibri"/>
            </w:rPr>
          </w:pPr>
          <w:r>
            <w:fldChar w:fldCharType="begin"/>
          </w:r>
          <w:r>
            <w:instrText xml:space="preserve"> HYPERLINK \l "_bookmark4" </w:instrText>
          </w:r>
          <w:r>
            <w:fldChar w:fldCharType="separate"/>
          </w:r>
          <w:r>
            <w:t>第五部份</w:t>
          </w:r>
          <w:r>
            <w:tab/>
          </w:r>
          <w:r>
            <w:t>个人所得税</w:t>
          </w:r>
          <w:r>
            <w:tab/>
          </w:r>
          <w:r>
            <w:rPr>
              <w:rFonts w:ascii="Calibri" w:eastAsia="Calibri"/>
            </w:rPr>
            <w:t>9</w:t>
          </w:r>
          <w:r>
            <w:rPr>
              <w:rFonts w:ascii="Calibri" w:eastAsia="Calibri"/>
            </w:rPr>
            <w:fldChar w:fldCharType="end"/>
          </w:r>
        </w:p>
        <w:p>
          <w:pPr>
            <w:pStyle w:val="4"/>
            <w:tabs>
              <w:tab w:val="left" w:pos="3119"/>
              <w:tab w:val="right" w:leader="dot" w:pos="10095"/>
            </w:tabs>
            <w:spacing w:before="181"/>
            <w:rPr>
              <w:rFonts w:ascii="Calibri" w:eastAsia="Calibri"/>
            </w:rPr>
          </w:pPr>
          <w:r>
            <w:fldChar w:fldCharType="begin"/>
          </w:r>
          <w:r>
            <w:instrText xml:space="preserve"> HYPERLINK \l "_bookmark5" </w:instrText>
          </w:r>
          <w:r>
            <w:fldChar w:fldCharType="separate"/>
          </w:r>
          <w:r>
            <w:t>第六部份</w:t>
          </w:r>
          <w:r>
            <w:tab/>
          </w:r>
          <w:r>
            <w:t>企业所得税</w:t>
          </w:r>
          <w:r>
            <w:tab/>
          </w:r>
          <w:r>
            <w:rPr>
              <w:rFonts w:ascii="Calibri" w:eastAsia="Calibri"/>
            </w:rPr>
            <w:t>11</w:t>
          </w:r>
          <w:r>
            <w:rPr>
              <w:rFonts w:ascii="Calibri" w:eastAsia="Calibri"/>
            </w:rPr>
            <w:fldChar w:fldCharType="end"/>
          </w:r>
        </w:p>
        <w:p>
          <w:pPr>
            <w:pStyle w:val="4"/>
            <w:tabs>
              <w:tab w:val="right" w:leader="dot" w:pos="10095"/>
            </w:tabs>
            <w:rPr>
              <w:rFonts w:ascii="Calibri" w:eastAsia="Calibri"/>
            </w:rPr>
          </w:pPr>
          <w:r>
            <w:pict>
              <v:shape id="_x0000_s1029" o:spid="_x0000_s1029" o:spt="136" type="#_x0000_t136" style="position:absolute;left:0pt;margin-left:41.25pt;margin-top:35pt;height:132pt;width:528.05pt;mso-position-horizontal-relative:page;rotation:20643840f;z-index:251760640;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fldChar w:fldCharType="begin"/>
          </w:r>
          <w:r>
            <w:instrText xml:space="preserve"> HYPERLINK \l "_bookmark6" </w:instrText>
          </w:r>
          <w:r>
            <w:fldChar w:fldCharType="separate"/>
          </w:r>
          <w:r>
            <w:t>附件</w:t>
          </w:r>
          <w:r>
            <w:tab/>
          </w:r>
          <w:r>
            <w:rPr>
              <w:rFonts w:ascii="Calibri" w:eastAsia="Calibri"/>
            </w:rPr>
            <w:t>42</w:t>
          </w:r>
          <w:r>
            <w:rPr>
              <w:rFonts w:ascii="Calibri" w:eastAsia="Calibri"/>
            </w:rPr>
            <w:fldChar w:fldCharType="end"/>
          </w:r>
        </w:p>
      </w:sdtContent>
    </w:sdt>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0"/>
        <w:ind w:left="0"/>
        <w:rPr>
          <w:rFonts w:ascii="Calibri"/>
          <w:sz w:val="20"/>
        </w:rPr>
      </w:pPr>
    </w:p>
    <w:p>
      <w:pPr>
        <w:pStyle w:val="3"/>
        <w:spacing w:before="2"/>
        <w:ind w:left="0"/>
        <w:rPr>
          <w:rFonts w:ascii="Calibri"/>
          <w:sz w:val="15"/>
        </w:rPr>
      </w:pPr>
      <w:r>
        <w:drawing>
          <wp:anchor distT="0" distB="0" distL="0" distR="0" simplePos="0" relativeHeight="251660288" behindDoc="0" locked="0" layoutInCell="1" allowOverlap="1">
            <wp:simplePos x="0" y="0"/>
            <wp:positionH relativeFrom="page">
              <wp:posOffset>1155065</wp:posOffset>
            </wp:positionH>
            <wp:positionV relativeFrom="paragraph">
              <wp:posOffset>142240</wp:posOffset>
            </wp:positionV>
            <wp:extent cx="4903470" cy="138430"/>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pic:cNvPicPr>
                  </pic:nvPicPr>
                  <pic:blipFill>
                    <a:blip r:embed="rId19" cstate="print"/>
                    <a:stretch>
                      <a:fillRect/>
                    </a:stretch>
                  </pic:blipFill>
                  <pic:spPr>
                    <a:xfrm>
                      <a:off x="0" y="0"/>
                      <a:ext cx="4903470" cy="138588"/>
                    </a:xfrm>
                    <a:prstGeom prst="rect">
                      <a:avLst/>
                    </a:prstGeom>
                  </pic:spPr>
                </pic:pic>
              </a:graphicData>
            </a:graphic>
          </wp:anchor>
        </w:drawing>
      </w:r>
    </w:p>
    <w:p>
      <w:pPr>
        <w:spacing w:after="0"/>
        <w:rPr>
          <w:rFonts w:ascii="Calibri"/>
          <w:sz w:val="15"/>
        </w:rPr>
        <w:sectPr>
          <w:pgSz w:w="11910" w:h="16840"/>
          <w:pgMar w:top="840" w:right="0" w:bottom="280" w:left="0" w:header="720" w:footer="720" w:gutter="0"/>
          <w:cols w:space="720" w:num="1"/>
        </w:sectPr>
      </w:pPr>
    </w:p>
    <w:p>
      <w:pPr>
        <w:pStyle w:val="3"/>
        <w:spacing w:before="0"/>
        <w:ind w:left="0"/>
        <w:rPr>
          <w:rFonts w:ascii="Calibri"/>
          <w:sz w:val="20"/>
        </w:rPr>
      </w:pPr>
    </w:p>
    <w:p>
      <w:pPr>
        <w:pStyle w:val="3"/>
        <w:spacing w:before="0"/>
        <w:ind w:left="0"/>
        <w:rPr>
          <w:rFonts w:ascii="Calibri"/>
          <w:sz w:val="19"/>
        </w:rPr>
      </w:pPr>
    </w:p>
    <w:p>
      <w:pPr>
        <w:pStyle w:val="2"/>
        <w:tabs>
          <w:tab w:val="left" w:pos="1319"/>
        </w:tabs>
        <w:spacing w:before="37"/>
        <w:ind w:left="0" w:right="1"/>
        <w:jc w:val="center"/>
      </w:pPr>
      <w:bookmarkStart w:id="2" w:name="第一部份   增值税"/>
      <w:bookmarkEnd w:id="2"/>
      <w:bookmarkStart w:id="3" w:name="_bookmark0"/>
      <w:bookmarkEnd w:id="3"/>
      <w:r>
        <w:t>第一部份</w:t>
      </w:r>
      <w:r>
        <w:tab/>
      </w:r>
      <w:r>
        <w:t>增值税</w:t>
      </w:r>
    </w:p>
    <w:p>
      <w:pPr>
        <w:pStyle w:val="3"/>
        <w:spacing w:before="17"/>
        <w:ind w:left="0"/>
        <w:rPr>
          <w:rFonts w:ascii="微软雅黑"/>
          <w:b/>
        </w:rPr>
      </w:pPr>
    </w:p>
    <w:p>
      <w:pPr>
        <w:spacing w:before="1"/>
        <w:ind w:left="2280" w:right="0" w:firstLine="0"/>
        <w:jc w:val="left"/>
        <w:rPr>
          <w:rFonts w:hint="eastAsia" w:ascii="微软雅黑" w:eastAsia="微软雅黑"/>
          <w:b/>
          <w:sz w:val="24"/>
        </w:rPr>
      </w:pPr>
      <w:r>
        <w:rPr>
          <w:rFonts w:hint="eastAsia" w:ascii="微软雅黑" w:eastAsia="微软雅黑"/>
          <w:b/>
          <w:color w:val="333333"/>
          <w:sz w:val="24"/>
        </w:rPr>
        <w:t>【适用主体】</w:t>
      </w:r>
    </w:p>
    <w:p>
      <w:pPr>
        <w:pStyle w:val="3"/>
        <w:spacing w:before="181"/>
        <w:ind w:left="2280"/>
        <w:rPr>
          <w:rFonts w:hint="eastAsia" w:ascii="微软雅黑" w:eastAsia="微软雅黑"/>
        </w:rPr>
      </w:pPr>
      <w:r>
        <w:rPr>
          <w:rFonts w:hint="eastAsia" w:ascii="微软雅黑" w:eastAsia="微软雅黑"/>
          <w:color w:val="333333"/>
        </w:rPr>
        <w:t>所有增值税纳税人</w:t>
      </w:r>
    </w:p>
    <w:p>
      <w:pPr>
        <w:spacing w:before="182"/>
        <w:ind w:left="2280" w:right="0" w:firstLine="0"/>
        <w:jc w:val="left"/>
        <w:rPr>
          <w:rFonts w:hint="eastAsia" w:ascii="微软雅黑" w:eastAsia="微软雅黑"/>
          <w:b/>
          <w:sz w:val="24"/>
        </w:rPr>
      </w:pPr>
      <w:r>
        <w:rPr>
          <w:rFonts w:hint="eastAsia" w:ascii="微软雅黑" w:eastAsia="微软雅黑"/>
          <w:b/>
          <w:color w:val="333333"/>
          <w:sz w:val="24"/>
        </w:rPr>
        <w:t>【政策内容】</w:t>
      </w:r>
    </w:p>
    <w:p>
      <w:pPr>
        <w:pStyle w:val="8"/>
        <w:numPr>
          <w:ilvl w:val="0"/>
          <w:numId w:val="1"/>
        </w:numPr>
        <w:tabs>
          <w:tab w:val="left" w:pos="2481"/>
        </w:tabs>
        <w:spacing w:before="181" w:after="0" w:line="338" w:lineRule="auto"/>
        <w:ind w:left="1800" w:right="1795" w:firstLine="480"/>
        <w:jc w:val="both"/>
        <w:rPr>
          <w:sz w:val="24"/>
        </w:rPr>
      </w:pPr>
      <w:r>
        <w:rPr>
          <w:color w:val="333333"/>
          <w:spacing w:val="-6"/>
          <w:sz w:val="24"/>
        </w:rPr>
        <w:t>纳税人在资产重组过程中，通过合并、分立、出售、置换等方式，将全部或者部分实物资产以及与其相关联的债权、负债和劳动力一并转让给其他单位和</w:t>
      </w:r>
      <w:r>
        <w:rPr>
          <w:color w:val="333333"/>
          <w:sz w:val="24"/>
        </w:rPr>
        <w:t>个人，不属于增值税的征税范围，其中涉及的货物转让，不征收增值税。</w:t>
      </w:r>
    </w:p>
    <w:p>
      <w:pPr>
        <w:pStyle w:val="8"/>
        <w:numPr>
          <w:ilvl w:val="0"/>
          <w:numId w:val="1"/>
        </w:numPr>
        <w:tabs>
          <w:tab w:val="left" w:pos="2481"/>
        </w:tabs>
        <w:spacing w:before="1" w:after="0" w:line="338" w:lineRule="auto"/>
        <w:ind w:left="1800" w:right="1795" w:firstLine="480"/>
        <w:jc w:val="both"/>
        <w:rPr>
          <w:sz w:val="24"/>
        </w:rPr>
      </w:pPr>
      <w:r>
        <w:pict>
          <v:shape id="_x0000_s1030" o:spid="_x0000_s1030" o:spt="136" type="#_x0000_t136" style="position:absolute;left:0pt;margin-left:41.25pt;margin-top:26.8pt;height:132pt;width:528.05pt;mso-position-horizontal-relative:page;rotation:20643840f;z-index:-251652096;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color w:val="333333"/>
          <w:spacing w:val="-6"/>
          <w:sz w:val="24"/>
        </w:rPr>
        <w:t>纳税人在资产重组过程中，通过合并、分立、出售、置换等方式，将全部或者部分实物资产以及与其相关联的债权、负债经多次转让后，最终的受让方与</w:t>
      </w:r>
      <w:r>
        <w:rPr>
          <w:color w:val="333333"/>
          <w:spacing w:val="-7"/>
          <w:sz w:val="24"/>
        </w:rPr>
        <w:t>劳动力接收方为同一单位和个人的，仍适用《国家税务总局关于纳税人资产重组</w:t>
      </w:r>
      <w:r>
        <w:rPr>
          <w:color w:val="333333"/>
          <w:sz w:val="24"/>
        </w:rPr>
        <w:t>有关增值税问题的公告》（</w:t>
      </w:r>
      <w:r>
        <w:rPr>
          <w:color w:val="333333"/>
          <w:spacing w:val="-1"/>
          <w:sz w:val="24"/>
        </w:rPr>
        <w:t xml:space="preserve">国家税务总局公告 </w:t>
      </w:r>
      <w:r>
        <w:rPr>
          <w:color w:val="333333"/>
          <w:sz w:val="24"/>
        </w:rPr>
        <w:t>2011</w:t>
      </w:r>
      <w:r>
        <w:rPr>
          <w:color w:val="333333"/>
          <w:spacing w:val="-5"/>
          <w:sz w:val="24"/>
        </w:rPr>
        <w:t xml:space="preserve"> 年第 </w:t>
      </w:r>
      <w:r>
        <w:rPr>
          <w:color w:val="333333"/>
          <w:sz w:val="24"/>
        </w:rPr>
        <w:t>13</w:t>
      </w:r>
      <w:r>
        <w:rPr>
          <w:color w:val="333333"/>
          <w:spacing w:val="-4"/>
          <w:sz w:val="24"/>
        </w:rPr>
        <w:t xml:space="preserve"> 号</w:t>
      </w:r>
      <w:r>
        <w:rPr>
          <w:color w:val="333333"/>
          <w:sz w:val="24"/>
        </w:rPr>
        <w:t xml:space="preserve">）的相关规定， </w:t>
      </w:r>
      <w:r>
        <w:rPr>
          <w:color w:val="333333"/>
          <w:spacing w:val="-6"/>
          <w:sz w:val="24"/>
        </w:rPr>
        <w:t>其中货物的多次转让行为均不征收增值税。资产的出让方需将资产重组方案等文</w:t>
      </w:r>
      <w:r>
        <w:rPr>
          <w:color w:val="333333"/>
          <w:sz w:val="24"/>
        </w:rPr>
        <w:t>件资料报其主管税务机关。</w:t>
      </w:r>
    </w:p>
    <w:p>
      <w:pPr>
        <w:pStyle w:val="8"/>
        <w:numPr>
          <w:ilvl w:val="0"/>
          <w:numId w:val="1"/>
        </w:numPr>
        <w:tabs>
          <w:tab w:val="left" w:pos="2481"/>
        </w:tabs>
        <w:spacing w:before="2" w:after="0" w:line="338" w:lineRule="auto"/>
        <w:ind w:left="1800" w:right="1795" w:firstLine="480"/>
        <w:jc w:val="both"/>
        <w:rPr>
          <w:sz w:val="24"/>
        </w:rPr>
      </w:pPr>
      <w:r>
        <w:rPr>
          <w:color w:val="333333"/>
          <w:spacing w:val="-4"/>
          <w:sz w:val="24"/>
        </w:rPr>
        <w:t>增值税一般纳税人在资产重组过程中，将全部资产、负债和劳动力一并转</w:t>
      </w:r>
      <w:r>
        <w:rPr>
          <w:color w:val="333333"/>
          <w:spacing w:val="-7"/>
          <w:sz w:val="24"/>
        </w:rPr>
        <w:t>让给其他增值税一般纳税人，并按程序办理注销税务登记的，其在办理注销登记</w:t>
      </w:r>
      <w:r>
        <w:rPr>
          <w:color w:val="333333"/>
          <w:sz w:val="24"/>
        </w:rPr>
        <w:t>前尚未抵扣的进项税额可结转至新纳税人处继续抵扣。</w:t>
      </w:r>
    </w:p>
    <w:p>
      <w:pPr>
        <w:pStyle w:val="8"/>
        <w:numPr>
          <w:ilvl w:val="0"/>
          <w:numId w:val="1"/>
        </w:numPr>
        <w:tabs>
          <w:tab w:val="left" w:pos="2481"/>
        </w:tabs>
        <w:spacing w:before="0" w:after="0" w:line="338" w:lineRule="auto"/>
        <w:ind w:left="1800" w:right="1795" w:firstLine="480"/>
        <w:jc w:val="both"/>
        <w:rPr>
          <w:sz w:val="24"/>
        </w:rPr>
      </w:pPr>
      <w:r>
        <w:rPr>
          <w:color w:val="333333"/>
          <w:spacing w:val="-6"/>
          <w:sz w:val="24"/>
        </w:rPr>
        <w:t>纳税人在资产重组过程中，通过合并、分立、出售、置换等方式，将全部或者部分实物资产以及与其相关联的债权、负债和劳动力一并转让给其他单位和</w:t>
      </w:r>
      <w:r>
        <w:rPr>
          <w:color w:val="333333"/>
          <w:sz w:val="24"/>
        </w:rPr>
        <w:t>个人，其中涉及的不动产、土地使用权转让行为，不征收增值税。</w:t>
      </w:r>
    </w:p>
    <w:p>
      <w:pPr>
        <w:spacing w:before="1"/>
        <w:ind w:left="2280" w:right="0" w:firstLine="0"/>
        <w:jc w:val="left"/>
        <w:rPr>
          <w:rFonts w:hint="eastAsia" w:ascii="微软雅黑" w:eastAsia="微软雅黑"/>
          <w:b/>
          <w:sz w:val="24"/>
        </w:rPr>
      </w:pPr>
      <w:r>
        <w:rPr>
          <w:rFonts w:hint="eastAsia" w:ascii="微软雅黑" w:eastAsia="微软雅黑"/>
          <w:b/>
          <w:color w:val="333333"/>
          <w:sz w:val="24"/>
        </w:rPr>
        <w:t>【适用条件】</w:t>
      </w:r>
    </w:p>
    <w:p>
      <w:pPr>
        <w:pStyle w:val="8"/>
        <w:numPr>
          <w:ilvl w:val="0"/>
          <w:numId w:val="2"/>
        </w:numPr>
        <w:tabs>
          <w:tab w:val="left" w:pos="2481"/>
        </w:tabs>
        <w:spacing w:before="182" w:after="0" w:line="240" w:lineRule="auto"/>
        <w:ind w:left="2480" w:right="0" w:hanging="201"/>
        <w:jc w:val="left"/>
        <w:rPr>
          <w:sz w:val="24"/>
        </w:rPr>
      </w:pPr>
      <w:r>
        <w:rPr>
          <w:color w:val="333333"/>
          <w:sz w:val="24"/>
        </w:rPr>
        <w:t>通过合并、分立、出售、置换等方式进行资产重组。</w:t>
      </w:r>
    </w:p>
    <w:p>
      <w:pPr>
        <w:spacing w:after="0" w:line="240" w:lineRule="auto"/>
        <w:jc w:val="left"/>
        <w:rPr>
          <w:sz w:val="24"/>
        </w:rPr>
        <w:sectPr>
          <w:headerReference r:id="rId5" w:type="default"/>
          <w:footerReference r:id="rId6" w:type="default"/>
          <w:pgSz w:w="11910" w:h="16840"/>
          <w:pgMar w:top="1540" w:right="0" w:bottom="1380" w:left="0" w:header="965" w:footer="1182" w:gutter="0"/>
          <w:pgNumType w:start="1"/>
          <w:cols w:space="720" w:num="1"/>
        </w:sectPr>
      </w:pPr>
    </w:p>
    <w:p>
      <w:pPr>
        <w:pStyle w:val="3"/>
        <w:spacing w:before="11"/>
        <w:ind w:left="0"/>
        <w:rPr>
          <w:rFonts w:ascii="微软雅黑"/>
          <w:sz w:val="10"/>
        </w:rPr>
      </w:pPr>
    </w:p>
    <w:p>
      <w:pPr>
        <w:pStyle w:val="8"/>
        <w:numPr>
          <w:ilvl w:val="0"/>
          <w:numId w:val="2"/>
        </w:numPr>
        <w:tabs>
          <w:tab w:val="left" w:pos="2481"/>
        </w:tabs>
        <w:spacing w:before="37" w:after="0" w:line="240" w:lineRule="auto"/>
        <w:ind w:left="2480" w:right="0" w:hanging="201"/>
        <w:jc w:val="left"/>
        <w:rPr>
          <w:sz w:val="24"/>
        </w:rPr>
      </w:pPr>
      <w:r>
        <w:rPr>
          <w:color w:val="333333"/>
          <w:sz w:val="24"/>
        </w:rPr>
        <w:t>全部或者部分实物资产以及与其相关联的债权、负债和劳动力一并转让。</w:t>
      </w:r>
    </w:p>
    <w:p>
      <w:pPr>
        <w:pStyle w:val="8"/>
        <w:numPr>
          <w:ilvl w:val="0"/>
          <w:numId w:val="2"/>
        </w:numPr>
        <w:tabs>
          <w:tab w:val="left" w:pos="2481"/>
        </w:tabs>
        <w:spacing w:before="182" w:after="0" w:line="338" w:lineRule="auto"/>
        <w:ind w:left="1800" w:right="1795" w:firstLine="480"/>
        <w:jc w:val="left"/>
        <w:rPr>
          <w:sz w:val="24"/>
        </w:rPr>
      </w:pPr>
      <w:r>
        <w:rPr>
          <w:color w:val="333333"/>
          <w:spacing w:val="-5"/>
          <w:sz w:val="24"/>
        </w:rPr>
        <w:t>仅对资产重组过程中涉及的货物、不动产、土地使用权转让行为，不征收</w:t>
      </w:r>
      <w:r>
        <w:rPr>
          <w:color w:val="333333"/>
          <w:sz w:val="24"/>
        </w:rPr>
        <w:t>增值税；其他资产转让，应依法缴纳增值税。</w:t>
      </w:r>
    </w:p>
    <w:p>
      <w:pPr>
        <w:pStyle w:val="8"/>
        <w:numPr>
          <w:ilvl w:val="0"/>
          <w:numId w:val="2"/>
        </w:numPr>
        <w:tabs>
          <w:tab w:val="left" w:pos="2481"/>
        </w:tabs>
        <w:spacing w:before="0" w:after="0" w:line="338" w:lineRule="auto"/>
        <w:ind w:left="1800" w:right="1797" w:firstLine="480"/>
        <w:jc w:val="left"/>
        <w:rPr>
          <w:sz w:val="24"/>
        </w:rPr>
      </w:pPr>
      <w:r>
        <w:rPr>
          <w:color w:val="333333"/>
          <w:spacing w:val="-4"/>
          <w:sz w:val="24"/>
        </w:rPr>
        <w:t>涉及增值税进项留抵税额转移的资产重组行为，重组企业双方均应为增值</w:t>
      </w:r>
      <w:r>
        <w:rPr>
          <w:color w:val="333333"/>
          <w:sz w:val="24"/>
        </w:rPr>
        <w:t>税一般纳税人。</w:t>
      </w:r>
    </w:p>
    <w:p>
      <w:pPr>
        <w:spacing w:before="0"/>
        <w:ind w:left="2280" w:right="0" w:firstLine="0"/>
        <w:jc w:val="left"/>
        <w:rPr>
          <w:rFonts w:hint="eastAsia" w:ascii="微软雅黑" w:eastAsia="微软雅黑"/>
          <w:b/>
          <w:sz w:val="24"/>
        </w:rPr>
      </w:pPr>
      <w:r>
        <w:rPr>
          <w:rFonts w:hint="eastAsia" w:ascii="微软雅黑" w:eastAsia="微软雅黑"/>
          <w:b/>
          <w:color w:val="333333"/>
          <w:sz w:val="24"/>
        </w:rPr>
        <w:t>【注意事项】</w:t>
      </w:r>
    </w:p>
    <w:p>
      <w:pPr>
        <w:pStyle w:val="8"/>
        <w:numPr>
          <w:ilvl w:val="0"/>
          <w:numId w:val="3"/>
        </w:numPr>
        <w:tabs>
          <w:tab w:val="left" w:pos="2481"/>
        </w:tabs>
        <w:spacing w:before="182" w:after="0" w:line="338" w:lineRule="auto"/>
        <w:ind w:left="1800" w:right="1795" w:firstLine="480"/>
        <w:jc w:val="both"/>
        <w:rPr>
          <w:sz w:val="24"/>
        </w:rPr>
      </w:pPr>
      <w:r>
        <w:pict>
          <v:shape id="_x0000_s1031" o:spid="_x0000_s1031" o:spt="136" type="#_x0000_t136" style="position:absolute;left:0pt;margin-left:41.25pt;margin-top:95pt;height:132pt;width:528.05pt;mso-position-horizontal-relative:page;rotation:20643840f;z-index:-251651072;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color w:val="333333"/>
          <w:spacing w:val="-5"/>
          <w:sz w:val="24"/>
        </w:rPr>
        <w:t>企业纳税人通过合并、分立两种方式进行资产重组的，要注意纳税人通过</w:t>
      </w:r>
      <w:r>
        <w:rPr>
          <w:color w:val="333333"/>
          <w:spacing w:val="-7"/>
          <w:sz w:val="24"/>
        </w:rPr>
        <w:t>上述两种方式的资产重组行为，是否符合《公司法》对企业合并、分立的相关规</w:t>
      </w:r>
      <w:r>
        <w:rPr>
          <w:color w:val="333333"/>
          <w:sz w:val="24"/>
        </w:rPr>
        <w:t>定及要求。</w:t>
      </w:r>
    </w:p>
    <w:p>
      <w:pPr>
        <w:pStyle w:val="8"/>
        <w:numPr>
          <w:ilvl w:val="0"/>
          <w:numId w:val="3"/>
        </w:numPr>
        <w:tabs>
          <w:tab w:val="left" w:pos="2481"/>
        </w:tabs>
        <w:spacing w:before="1" w:after="0" w:line="338" w:lineRule="auto"/>
        <w:ind w:left="1800" w:right="1795" w:firstLine="480"/>
        <w:jc w:val="both"/>
        <w:rPr>
          <w:sz w:val="24"/>
        </w:rPr>
      </w:pPr>
      <w:r>
        <w:rPr>
          <w:color w:val="333333"/>
          <w:spacing w:val="-5"/>
          <w:sz w:val="24"/>
        </w:rPr>
        <w:t>纳税人进行资产重组时，其转让的实物资产对应的债权、负债和劳动力等</w:t>
      </w:r>
      <w:r>
        <w:rPr>
          <w:color w:val="333333"/>
          <w:spacing w:val="-9"/>
          <w:sz w:val="24"/>
        </w:rPr>
        <w:t>必须一并转让，三者缺一不可，否则不符合不征收增值税规定，应依法计算缴纳</w:t>
      </w:r>
      <w:r>
        <w:rPr>
          <w:color w:val="333333"/>
          <w:sz w:val="24"/>
        </w:rPr>
        <w:t>增值税。</w:t>
      </w:r>
    </w:p>
    <w:p>
      <w:pPr>
        <w:pStyle w:val="8"/>
        <w:numPr>
          <w:ilvl w:val="0"/>
          <w:numId w:val="3"/>
        </w:numPr>
        <w:tabs>
          <w:tab w:val="left" w:pos="2481"/>
        </w:tabs>
        <w:spacing w:before="1" w:after="0" w:line="338" w:lineRule="auto"/>
        <w:ind w:left="1800" w:right="1795" w:firstLine="480"/>
        <w:jc w:val="both"/>
        <w:rPr>
          <w:sz w:val="24"/>
        </w:rPr>
      </w:pPr>
      <w:r>
        <w:rPr>
          <w:color w:val="333333"/>
          <w:spacing w:val="-5"/>
          <w:sz w:val="24"/>
        </w:rPr>
        <w:t>纳税人资产重组过程中，涉及增值税进项留抵税额转移的，原纳税人应按</w:t>
      </w:r>
      <w:r>
        <w:rPr>
          <w:color w:val="333333"/>
          <w:spacing w:val="-8"/>
          <w:sz w:val="24"/>
        </w:rPr>
        <w:t>程序办理注销税务登记。原纳税人未按程序办理注销税务登记的，其增值税进项</w:t>
      </w:r>
      <w:r>
        <w:rPr>
          <w:color w:val="333333"/>
          <w:sz w:val="24"/>
        </w:rPr>
        <w:t>留抵税额不能转移至新纳税人。</w:t>
      </w:r>
    </w:p>
    <w:p>
      <w:pPr>
        <w:pStyle w:val="3"/>
        <w:spacing w:before="0" w:line="338" w:lineRule="auto"/>
        <w:ind w:right="1800" w:firstLine="480"/>
        <w:rPr>
          <w:rFonts w:hint="eastAsia" w:ascii="微软雅黑" w:eastAsia="微软雅黑"/>
        </w:rPr>
      </w:pPr>
      <w:r>
        <w:rPr>
          <w:rFonts w:hint="eastAsia" w:ascii="微软雅黑" w:eastAsia="微软雅黑"/>
        </w:rPr>
        <w:t>4、属于不征收增值税项目的，可以开具增值税普通发票，也无需向税务机关备案，企业留存资产重组相关文件、协议备查。</w:t>
      </w:r>
    </w:p>
    <w:p>
      <w:pPr>
        <w:spacing w:before="1"/>
        <w:ind w:left="2280" w:right="0" w:firstLine="0"/>
        <w:jc w:val="left"/>
        <w:rPr>
          <w:rFonts w:hint="eastAsia" w:ascii="微软雅黑" w:eastAsia="微软雅黑"/>
          <w:b/>
          <w:sz w:val="24"/>
        </w:rPr>
      </w:pPr>
      <w:r>
        <w:rPr>
          <w:rFonts w:hint="eastAsia" w:ascii="微软雅黑" w:eastAsia="微软雅黑"/>
          <w:b/>
          <w:color w:val="333333"/>
          <w:sz w:val="24"/>
        </w:rPr>
        <w:t>【政策依据】</w:t>
      </w:r>
    </w:p>
    <w:p>
      <w:pPr>
        <w:pStyle w:val="8"/>
        <w:numPr>
          <w:ilvl w:val="0"/>
          <w:numId w:val="4"/>
        </w:numPr>
        <w:tabs>
          <w:tab w:val="left" w:pos="2481"/>
        </w:tabs>
        <w:spacing w:before="181" w:after="0" w:line="338" w:lineRule="auto"/>
        <w:ind w:left="1800" w:right="1795" w:firstLine="480"/>
        <w:jc w:val="left"/>
        <w:rPr>
          <w:sz w:val="24"/>
        </w:rPr>
      </w:pPr>
      <w:r>
        <w:fldChar w:fldCharType="begin"/>
      </w:r>
      <w:r>
        <w:instrText xml:space="preserve"> HYPERLINK \l "_bookmark7" </w:instrText>
      </w:r>
      <w:r>
        <w:fldChar w:fldCharType="separate"/>
      </w:r>
      <w:r>
        <w:rPr>
          <w:color w:val="0000FF"/>
          <w:spacing w:val="-2"/>
          <w:sz w:val="24"/>
          <w:u w:val="single" w:color="0000FF"/>
        </w:rPr>
        <w:t>《国家税务总局关于纳税人资产重组有关增值税问题的公告》</w:t>
      </w:r>
      <w:r>
        <w:rPr>
          <w:color w:val="0000FF"/>
          <w:sz w:val="24"/>
          <w:u w:val="single" w:color="0000FF"/>
        </w:rPr>
        <w:t>（</w:t>
      </w:r>
      <w:r>
        <w:rPr>
          <w:color w:val="0000FF"/>
          <w:spacing w:val="-4"/>
          <w:sz w:val="24"/>
          <w:u w:val="single" w:color="0000FF"/>
        </w:rPr>
        <w:t>国家税务</w:t>
      </w:r>
      <w:r>
        <w:rPr>
          <w:color w:val="0000FF"/>
          <w:spacing w:val="-4"/>
          <w:sz w:val="24"/>
          <w:u w:val="single" w:color="0000FF"/>
        </w:rPr>
        <w:fldChar w:fldCharType="end"/>
      </w:r>
      <w:r>
        <w:rPr>
          <w:color w:val="0000FF"/>
          <w:spacing w:val="-48"/>
          <w:sz w:val="24"/>
          <w:u w:val="single" w:color="0000FF"/>
        </w:rPr>
        <w:t xml:space="preserve">总局公告 </w:t>
      </w:r>
      <w:r>
        <w:rPr>
          <w:color w:val="0000FF"/>
          <w:sz w:val="24"/>
          <w:u w:val="single" w:color="0000FF"/>
        </w:rPr>
        <w:t>2011</w:t>
      </w:r>
      <w:r>
        <w:rPr>
          <w:color w:val="0000FF"/>
          <w:spacing w:val="-7"/>
          <w:sz w:val="24"/>
          <w:u w:val="single" w:color="0000FF"/>
        </w:rPr>
        <w:t xml:space="preserve"> 年第 </w:t>
      </w:r>
      <w:r>
        <w:rPr>
          <w:color w:val="0000FF"/>
          <w:sz w:val="24"/>
          <w:u w:val="single" w:color="0000FF"/>
        </w:rPr>
        <w:t>13</w:t>
      </w:r>
      <w:r>
        <w:rPr>
          <w:color w:val="0000FF"/>
          <w:spacing w:val="-6"/>
          <w:sz w:val="24"/>
          <w:u w:val="single" w:color="0000FF"/>
        </w:rPr>
        <w:t xml:space="preserve"> 号</w:t>
      </w:r>
      <w:r>
        <w:rPr>
          <w:color w:val="0000FF"/>
          <w:sz w:val="24"/>
          <w:u w:val="single" w:color="0000FF"/>
        </w:rPr>
        <w:t>）</w:t>
      </w:r>
    </w:p>
    <w:p>
      <w:pPr>
        <w:pStyle w:val="8"/>
        <w:numPr>
          <w:ilvl w:val="0"/>
          <w:numId w:val="4"/>
        </w:numPr>
        <w:tabs>
          <w:tab w:val="left" w:pos="2481"/>
        </w:tabs>
        <w:spacing w:before="1" w:after="0" w:line="240" w:lineRule="auto"/>
        <w:ind w:left="2480" w:right="0" w:hanging="201"/>
        <w:jc w:val="left"/>
        <w:rPr>
          <w:sz w:val="24"/>
        </w:rPr>
      </w:pPr>
      <w:r>
        <w:fldChar w:fldCharType="begin"/>
      </w:r>
      <w:r>
        <w:instrText xml:space="preserve"> HYPERLINK \l "_bookmark8" </w:instrText>
      </w:r>
      <w:r>
        <w:fldChar w:fldCharType="separate"/>
      </w:r>
      <w:r>
        <w:rPr>
          <w:color w:val="0000FF"/>
          <w:spacing w:val="-2"/>
          <w:sz w:val="24"/>
          <w:u w:val="single" w:color="0000FF"/>
        </w:rPr>
        <w:t>《国家税务总局关于纳税人资产重组有关增值税问题的公告》</w:t>
      </w:r>
      <w:r>
        <w:rPr>
          <w:color w:val="0000FF"/>
          <w:sz w:val="24"/>
          <w:u w:val="single" w:color="0000FF"/>
        </w:rPr>
        <w:t>（国家税务</w:t>
      </w:r>
      <w:r>
        <w:rPr>
          <w:color w:val="0000FF"/>
          <w:sz w:val="24"/>
          <w:u w:val="single" w:color="0000FF"/>
        </w:rPr>
        <w:fldChar w:fldCharType="end"/>
      </w:r>
    </w:p>
    <w:p>
      <w:pPr>
        <w:pStyle w:val="3"/>
        <w:spacing w:before="181"/>
        <w:rPr>
          <w:rFonts w:hint="eastAsia" w:ascii="微软雅黑" w:eastAsia="微软雅黑"/>
        </w:rPr>
      </w:pPr>
      <w:r>
        <w:rPr>
          <w:rFonts w:hint="eastAsia" w:ascii="微软雅黑" w:eastAsia="微软雅黑"/>
          <w:color w:val="0000FF"/>
          <w:u w:val="single" w:color="0000FF"/>
        </w:rPr>
        <w:t>总局公告 2013 年第 66 号）</w:t>
      </w:r>
    </w:p>
    <w:p>
      <w:pPr>
        <w:spacing w:after="0"/>
        <w:rPr>
          <w:rFonts w:hint="eastAsia" w:ascii="微软雅黑" w:eastAsia="微软雅黑"/>
        </w:rPr>
        <w:sectPr>
          <w:pgSz w:w="11910" w:h="16840"/>
          <w:pgMar w:top="1540" w:right="0" w:bottom="1380" w:left="0" w:header="965" w:footer="1182" w:gutter="0"/>
          <w:cols w:space="720" w:num="1"/>
        </w:sectPr>
      </w:pPr>
    </w:p>
    <w:p>
      <w:pPr>
        <w:pStyle w:val="3"/>
        <w:spacing w:before="11"/>
        <w:ind w:left="0"/>
        <w:rPr>
          <w:rFonts w:ascii="微软雅黑"/>
          <w:sz w:val="10"/>
        </w:rPr>
      </w:pPr>
    </w:p>
    <w:p>
      <w:pPr>
        <w:pStyle w:val="8"/>
        <w:numPr>
          <w:ilvl w:val="0"/>
          <w:numId w:val="4"/>
        </w:numPr>
        <w:tabs>
          <w:tab w:val="left" w:pos="2484"/>
        </w:tabs>
        <w:spacing w:before="37" w:after="0" w:line="338" w:lineRule="auto"/>
        <w:ind w:left="1800" w:right="1797" w:firstLine="480"/>
        <w:jc w:val="left"/>
        <w:rPr>
          <w:sz w:val="24"/>
        </w:rPr>
      </w:pPr>
      <w:r>
        <w:fldChar w:fldCharType="begin"/>
      </w:r>
      <w:r>
        <w:instrText xml:space="preserve"> HYPERLINK \l "_bookmark9" </w:instrText>
      </w:r>
      <w:r>
        <w:fldChar w:fldCharType="separate"/>
      </w:r>
      <w:r>
        <w:rPr>
          <w:color w:val="0000FF"/>
          <w:spacing w:val="3"/>
          <w:sz w:val="24"/>
          <w:u w:val="single" w:color="0000FF"/>
        </w:rPr>
        <w:t>《国家税务总局关于纳税人资产重组增值税留抵税额处理有关问题的公</w:t>
      </w:r>
      <w:r>
        <w:rPr>
          <w:color w:val="0000FF"/>
          <w:spacing w:val="3"/>
          <w:sz w:val="24"/>
          <w:u w:val="single" w:color="0000FF"/>
        </w:rPr>
        <w:fldChar w:fldCharType="end"/>
      </w:r>
      <w:r>
        <w:rPr>
          <w:color w:val="0000FF"/>
          <w:spacing w:val="-231"/>
          <w:sz w:val="24"/>
          <w:u w:val="single" w:color="0000FF"/>
        </w:rPr>
        <w:t>告》</w:t>
      </w:r>
      <w:r>
        <w:rPr>
          <w:color w:val="0000FF"/>
          <w:sz w:val="24"/>
          <w:u w:val="single" w:color="0000FF"/>
        </w:rPr>
        <w:t>（</w:t>
      </w:r>
      <w:r>
        <w:rPr>
          <w:color w:val="0000FF"/>
          <w:spacing w:val="-2"/>
          <w:sz w:val="24"/>
          <w:u w:val="single" w:color="0000FF"/>
        </w:rPr>
        <w:t xml:space="preserve">国家税务总局公告 </w:t>
      </w:r>
      <w:r>
        <w:rPr>
          <w:color w:val="0000FF"/>
          <w:sz w:val="24"/>
          <w:u w:val="single" w:color="0000FF"/>
        </w:rPr>
        <w:t>2012</w:t>
      </w:r>
      <w:r>
        <w:rPr>
          <w:color w:val="0000FF"/>
          <w:spacing w:val="-7"/>
          <w:sz w:val="24"/>
          <w:u w:val="single" w:color="0000FF"/>
        </w:rPr>
        <w:t xml:space="preserve"> 年第 </w:t>
      </w:r>
      <w:r>
        <w:rPr>
          <w:color w:val="0000FF"/>
          <w:sz w:val="24"/>
          <w:u w:val="single" w:color="0000FF"/>
        </w:rPr>
        <w:t>55</w:t>
      </w:r>
      <w:r>
        <w:rPr>
          <w:color w:val="0000FF"/>
          <w:spacing w:val="-6"/>
          <w:sz w:val="24"/>
          <w:u w:val="single" w:color="0000FF"/>
        </w:rPr>
        <w:t xml:space="preserve"> 号</w:t>
      </w:r>
      <w:r>
        <w:rPr>
          <w:color w:val="0000FF"/>
          <w:sz w:val="24"/>
          <w:u w:val="single" w:color="0000FF"/>
        </w:rPr>
        <w:t>）</w:t>
      </w:r>
    </w:p>
    <w:p>
      <w:pPr>
        <w:pStyle w:val="8"/>
        <w:numPr>
          <w:ilvl w:val="0"/>
          <w:numId w:val="4"/>
        </w:numPr>
        <w:tabs>
          <w:tab w:val="left" w:pos="2481"/>
        </w:tabs>
        <w:spacing w:before="0" w:after="0" w:line="338" w:lineRule="auto"/>
        <w:ind w:left="1800" w:right="1795" w:firstLine="480"/>
        <w:jc w:val="left"/>
        <w:rPr>
          <w:sz w:val="24"/>
        </w:rPr>
      </w:pPr>
      <w:r>
        <w:fldChar w:fldCharType="begin"/>
      </w:r>
      <w:r>
        <w:instrText xml:space="preserve"> HYPERLINK \l "_bookmark10" </w:instrText>
      </w:r>
      <w:r>
        <w:fldChar w:fldCharType="separate"/>
      </w:r>
      <w:r>
        <w:rPr>
          <w:color w:val="0000FF"/>
          <w:spacing w:val="-2"/>
          <w:sz w:val="24"/>
          <w:u w:val="single" w:color="0000FF"/>
        </w:rPr>
        <w:t>《财政部国家税务总局关于全面推开营业税改征增值税试点的通知》</w:t>
      </w:r>
      <w:r>
        <w:rPr>
          <w:color w:val="0000FF"/>
          <w:sz w:val="24"/>
          <w:u w:val="single" w:color="0000FF"/>
        </w:rPr>
        <w:t>（</w:t>
      </w:r>
      <w:r>
        <w:rPr>
          <w:color w:val="0000FF"/>
          <w:spacing w:val="-16"/>
          <w:sz w:val="24"/>
          <w:u w:val="single" w:color="0000FF"/>
        </w:rPr>
        <w:t>财</w:t>
      </w:r>
      <w:r>
        <w:rPr>
          <w:color w:val="0000FF"/>
          <w:spacing w:val="-16"/>
          <w:sz w:val="24"/>
          <w:u w:val="single" w:color="0000FF"/>
        </w:rPr>
        <w:fldChar w:fldCharType="end"/>
      </w:r>
      <w:r>
        <w:rPr>
          <w:color w:val="0000FF"/>
          <w:spacing w:val="-110"/>
          <w:sz w:val="24"/>
          <w:u w:val="single" w:color="0000FF"/>
        </w:rPr>
        <w:t>税〔</w:t>
      </w:r>
      <w:r>
        <w:rPr>
          <w:color w:val="0000FF"/>
          <w:sz w:val="24"/>
          <w:u w:val="single" w:color="0000FF"/>
        </w:rPr>
        <w:t>2016〕36</w:t>
      </w:r>
      <w:r>
        <w:rPr>
          <w:color w:val="0000FF"/>
          <w:spacing w:val="-5"/>
          <w:sz w:val="24"/>
          <w:u w:val="single" w:color="0000FF"/>
        </w:rPr>
        <w:t xml:space="preserve"> 号附件 </w:t>
      </w:r>
      <w:r>
        <w:rPr>
          <w:color w:val="0000FF"/>
          <w:sz w:val="24"/>
          <w:u w:val="single" w:color="0000FF"/>
        </w:rPr>
        <w:t>2）</w:t>
      </w:r>
    </w:p>
    <w:p>
      <w:pPr>
        <w:pStyle w:val="3"/>
        <w:spacing w:before="5"/>
        <w:ind w:left="0"/>
        <w:rPr>
          <w:rFonts w:ascii="微软雅黑"/>
          <w:sz w:val="13"/>
        </w:rPr>
      </w:pPr>
    </w:p>
    <w:p>
      <w:pPr>
        <w:pStyle w:val="2"/>
        <w:tabs>
          <w:tab w:val="left" w:pos="1199"/>
        </w:tabs>
        <w:spacing w:before="37"/>
        <w:ind w:left="0" w:right="1"/>
        <w:jc w:val="center"/>
      </w:pPr>
      <w:bookmarkStart w:id="4" w:name="_bookmark1"/>
      <w:bookmarkEnd w:id="4"/>
      <w:bookmarkStart w:id="5" w:name="第二部份  契税"/>
      <w:bookmarkEnd w:id="5"/>
      <w:r>
        <w:t>第二部份</w:t>
      </w:r>
      <w:r>
        <w:tab/>
      </w:r>
      <w:r>
        <w:t>契税</w:t>
      </w:r>
    </w:p>
    <w:p>
      <w:pPr>
        <w:pStyle w:val="3"/>
        <w:spacing w:before="17"/>
        <w:ind w:left="0"/>
        <w:rPr>
          <w:rFonts w:ascii="微软雅黑"/>
          <w:b/>
        </w:rPr>
      </w:pPr>
    </w:p>
    <w:p>
      <w:pPr>
        <w:spacing w:before="1"/>
        <w:ind w:left="2280" w:right="0" w:firstLine="0"/>
        <w:jc w:val="left"/>
        <w:rPr>
          <w:rFonts w:hint="eastAsia" w:ascii="微软雅黑" w:eastAsia="微软雅黑"/>
          <w:b/>
          <w:sz w:val="24"/>
        </w:rPr>
      </w:pPr>
      <w:r>
        <w:rPr>
          <w:rFonts w:hint="eastAsia" w:ascii="微软雅黑" w:eastAsia="微软雅黑"/>
          <w:b/>
          <w:color w:val="333333"/>
          <w:sz w:val="24"/>
        </w:rPr>
        <w:t>【适用主体】</w:t>
      </w:r>
    </w:p>
    <w:p>
      <w:pPr>
        <w:pStyle w:val="3"/>
        <w:spacing w:before="181"/>
        <w:ind w:left="2280"/>
        <w:rPr>
          <w:rFonts w:hint="eastAsia" w:ascii="微软雅黑" w:eastAsia="微软雅黑"/>
        </w:rPr>
      </w:pPr>
      <w:r>
        <w:rPr>
          <w:rFonts w:hint="eastAsia" w:ascii="微软雅黑" w:eastAsia="微软雅黑"/>
          <w:color w:val="333333"/>
        </w:rPr>
        <w:t>实施改制重组的企事业单位</w:t>
      </w:r>
    </w:p>
    <w:p>
      <w:pPr>
        <w:spacing w:before="182"/>
        <w:ind w:left="2280" w:right="0" w:firstLine="0"/>
        <w:jc w:val="left"/>
        <w:rPr>
          <w:rFonts w:hint="eastAsia" w:ascii="微软雅黑" w:eastAsia="微软雅黑"/>
          <w:b/>
          <w:sz w:val="24"/>
        </w:rPr>
      </w:pPr>
      <w:r>
        <w:rPr>
          <w:rFonts w:hint="eastAsia" w:ascii="微软雅黑" w:eastAsia="微软雅黑"/>
          <w:b/>
          <w:color w:val="333333"/>
          <w:sz w:val="24"/>
        </w:rPr>
        <w:t>【政策内容】</w:t>
      </w:r>
    </w:p>
    <w:p>
      <w:pPr>
        <w:pStyle w:val="8"/>
        <w:numPr>
          <w:ilvl w:val="0"/>
          <w:numId w:val="5"/>
        </w:numPr>
        <w:tabs>
          <w:tab w:val="left" w:pos="2640"/>
        </w:tabs>
        <w:spacing w:before="182" w:after="0" w:line="338" w:lineRule="auto"/>
        <w:ind w:left="1800" w:right="1797" w:firstLine="480"/>
        <w:jc w:val="both"/>
        <w:rPr>
          <w:sz w:val="24"/>
        </w:rPr>
      </w:pPr>
      <w:r>
        <w:pict>
          <v:shape id="_x0000_s1032" o:spid="_x0000_s1032" o:spt="136" type="#_x0000_t136" style="position:absolute;left:0pt;margin-left:41.25pt;margin-top:4.65pt;height:132pt;width:528.05pt;mso-position-horizontal-relative:page;rotation:20643840f;z-index:-251650048;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color w:val="333333"/>
          <w:spacing w:val="-1"/>
          <w:sz w:val="24"/>
        </w:rPr>
        <w:t>企业改制。企业按照《中华人民共和国公司法》有关规定整体改制，包</w:t>
      </w:r>
      <w:r>
        <w:rPr>
          <w:color w:val="333333"/>
          <w:spacing w:val="-5"/>
          <w:sz w:val="24"/>
        </w:rPr>
        <w:t>括非公司制企业改制为有限责任公司或股份有限公司，有限责任公司变更为股份</w:t>
      </w:r>
      <w:r>
        <w:rPr>
          <w:color w:val="333333"/>
          <w:spacing w:val="-20"/>
          <w:sz w:val="24"/>
        </w:rPr>
        <w:t>有限公司，股份有限公司变更为有限责任公司，原企业投资主体存续并在改制</w:t>
      </w:r>
      <w:r>
        <w:rPr>
          <w:color w:val="333333"/>
          <w:sz w:val="24"/>
        </w:rPr>
        <w:t>（</w:t>
      </w:r>
      <w:r>
        <w:rPr>
          <w:color w:val="333333"/>
          <w:spacing w:val="-16"/>
          <w:sz w:val="24"/>
        </w:rPr>
        <w:t>变</w:t>
      </w:r>
      <w:r>
        <w:rPr>
          <w:color w:val="333333"/>
          <w:sz w:val="24"/>
        </w:rPr>
        <w:t>更）后的公司中所持股权（股份）</w:t>
      </w:r>
      <w:r>
        <w:rPr>
          <w:color w:val="333333"/>
          <w:spacing w:val="6"/>
          <w:sz w:val="24"/>
        </w:rPr>
        <w:t xml:space="preserve">比例超过 </w:t>
      </w:r>
      <w:r>
        <w:rPr>
          <w:color w:val="333333"/>
          <w:sz w:val="24"/>
        </w:rPr>
        <w:t>75%，且改制（变更）后公司承继</w:t>
      </w:r>
      <w:r>
        <w:rPr>
          <w:color w:val="333333"/>
          <w:spacing w:val="-6"/>
          <w:sz w:val="24"/>
        </w:rPr>
        <w:t>原企业权利、义务的，对改制</w:t>
      </w:r>
      <w:r>
        <w:rPr>
          <w:color w:val="333333"/>
          <w:spacing w:val="-3"/>
          <w:sz w:val="24"/>
        </w:rPr>
        <w:t>（</w:t>
      </w:r>
      <w:r>
        <w:rPr>
          <w:color w:val="333333"/>
          <w:sz w:val="24"/>
        </w:rPr>
        <w:t>变更</w:t>
      </w:r>
      <w:r>
        <w:rPr>
          <w:color w:val="333333"/>
          <w:spacing w:val="-15"/>
          <w:sz w:val="24"/>
        </w:rPr>
        <w:t>）</w:t>
      </w:r>
      <w:r>
        <w:rPr>
          <w:color w:val="333333"/>
          <w:spacing w:val="-4"/>
          <w:sz w:val="24"/>
        </w:rPr>
        <w:t>后公司承受原企业土地、房屋权属，免征</w:t>
      </w:r>
      <w:r>
        <w:rPr>
          <w:color w:val="333333"/>
          <w:sz w:val="24"/>
        </w:rPr>
        <w:t>契税。</w:t>
      </w:r>
    </w:p>
    <w:p>
      <w:pPr>
        <w:pStyle w:val="8"/>
        <w:numPr>
          <w:ilvl w:val="0"/>
          <w:numId w:val="5"/>
        </w:numPr>
        <w:tabs>
          <w:tab w:val="left" w:pos="2640"/>
        </w:tabs>
        <w:spacing w:before="1" w:after="0" w:line="338" w:lineRule="auto"/>
        <w:ind w:left="1800" w:right="1795" w:firstLine="480"/>
        <w:jc w:val="both"/>
        <w:rPr>
          <w:sz w:val="24"/>
        </w:rPr>
      </w:pPr>
      <w:r>
        <w:rPr>
          <w:color w:val="333333"/>
          <w:sz w:val="24"/>
        </w:rPr>
        <w:t>事业单位改制。事业单位按照国家有关规定改制为企业，原投资主体存续并在改制后企业中出资（股权、股份）</w:t>
      </w:r>
      <w:r>
        <w:rPr>
          <w:color w:val="333333"/>
          <w:spacing w:val="6"/>
          <w:sz w:val="24"/>
        </w:rPr>
        <w:t xml:space="preserve">比例超过 </w:t>
      </w:r>
      <w:r>
        <w:rPr>
          <w:color w:val="333333"/>
          <w:sz w:val="24"/>
        </w:rPr>
        <w:t>50%的，对改制后企业承受原事业单位土地、房屋权属，免征契税。</w:t>
      </w:r>
    </w:p>
    <w:p>
      <w:pPr>
        <w:pStyle w:val="8"/>
        <w:numPr>
          <w:ilvl w:val="0"/>
          <w:numId w:val="5"/>
        </w:numPr>
        <w:tabs>
          <w:tab w:val="left" w:pos="2640"/>
        </w:tabs>
        <w:spacing w:before="1" w:after="0" w:line="338" w:lineRule="auto"/>
        <w:ind w:left="1800" w:right="1675" w:firstLine="480"/>
        <w:jc w:val="left"/>
        <w:rPr>
          <w:sz w:val="24"/>
        </w:rPr>
      </w:pPr>
      <w:r>
        <w:rPr>
          <w:color w:val="333333"/>
          <w:sz w:val="24"/>
        </w:rPr>
        <w:t>公司合并。两个或两个以上的公司，依照法律规定、合同约定，合并为</w:t>
      </w:r>
      <w:r>
        <w:rPr>
          <w:color w:val="333333"/>
          <w:spacing w:val="-17"/>
          <w:sz w:val="24"/>
        </w:rPr>
        <w:t xml:space="preserve">一个公司，且原投资主体存续的，对合并后公司承受原合并各方土地、房屋权属， </w:t>
      </w:r>
      <w:r>
        <w:rPr>
          <w:color w:val="333333"/>
          <w:sz w:val="24"/>
        </w:rPr>
        <w:t>免征契税。</w:t>
      </w:r>
    </w:p>
    <w:p>
      <w:pPr>
        <w:spacing w:after="0" w:line="338" w:lineRule="auto"/>
        <w:jc w:val="left"/>
        <w:rPr>
          <w:sz w:val="24"/>
        </w:rPr>
        <w:sectPr>
          <w:pgSz w:w="11910" w:h="16840"/>
          <w:pgMar w:top="1540" w:right="0" w:bottom="1380" w:left="0" w:header="965" w:footer="1182" w:gutter="0"/>
          <w:cols w:space="720" w:num="1"/>
        </w:sectPr>
      </w:pPr>
    </w:p>
    <w:p>
      <w:pPr>
        <w:pStyle w:val="3"/>
        <w:spacing w:before="11"/>
        <w:ind w:left="0"/>
        <w:rPr>
          <w:rFonts w:ascii="微软雅黑"/>
          <w:sz w:val="10"/>
        </w:rPr>
      </w:pPr>
    </w:p>
    <w:p>
      <w:pPr>
        <w:pStyle w:val="8"/>
        <w:numPr>
          <w:ilvl w:val="0"/>
          <w:numId w:val="5"/>
        </w:numPr>
        <w:tabs>
          <w:tab w:val="left" w:pos="2481"/>
        </w:tabs>
        <w:spacing w:before="37" w:after="0" w:line="338" w:lineRule="auto"/>
        <w:ind w:left="1800" w:right="1795" w:firstLine="480"/>
        <w:jc w:val="left"/>
        <w:rPr>
          <w:sz w:val="24"/>
        </w:rPr>
      </w:pPr>
      <w:r>
        <w:rPr>
          <w:color w:val="333333"/>
          <w:spacing w:val="-8"/>
          <w:sz w:val="24"/>
        </w:rPr>
        <w:t>公司分立。公司依照法律规定、合同约定分立为两个或两个以上与原公司</w:t>
      </w:r>
      <w:r>
        <w:rPr>
          <w:color w:val="333333"/>
          <w:sz w:val="24"/>
        </w:rPr>
        <w:t>投资主体相同的公司，对分立后公司承受原公司土地、房屋权属，免征契税。</w:t>
      </w:r>
    </w:p>
    <w:p>
      <w:pPr>
        <w:pStyle w:val="8"/>
        <w:numPr>
          <w:ilvl w:val="0"/>
          <w:numId w:val="5"/>
        </w:numPr>
        <w:tabs>
          <w:tab w:val="left" w:pos="2481"/>
        </w:tabs>
        <w:spacing w:before="0" w:after="0" w:line="338" w:lineRule="auto"/>
        <w:ind w:left="1800" w:right="1795" w:firstLine="480"/>
        <w:jc w:val="both"/>
        <w:rPr>
          <w:sz w:val="24"/>
        </w:rPr>
      </w:pPr>
      <w:r>
        <w:rPr>
          <w:color w:val="333333"/>
          <w:spacing w:val="-6"/>
          <w:sz w:val="24"/>
        </w:rPr>
        <w:t>企业破产。企业依照有关法律法规规定实施破产，债权人</w:t>
      </w:r>
      <w:r>
        <w:rPr>
          <w:color w:val="333333"/>
          <w:sz w:val="24"/>
        </w:rPr>
        <w:t>（</w:t>
      </w:r>
      <w:r>
        <w:rPr>
          <w:color w:val="333333"/>
          <w:spacing w:val="-3"/>
          <w:sz w:val="24"/>
        </w:rPr>
        <w:t>包括破产企业</w:t>
      </w:r>
      <w:r>
        <w:rPr>
          <w:color w:val="333333"/>
          <w:sz w:val="24"/>
        </w:rPr>
        <w:t>职工</w:t>
      </w:r>
      <w:r>
        <w:rPr>
          <w:color w:val="333333"/>
          <w:spacing w:val="-24"/>
          <w:sz w:val="24"/>
        </w:rPr>
        <w:t>）</w:t>
      </w:r>
      <w:r>
        <w:rPr>
          <w:color w:val="333333"/>
          <w:spacing w:val="-6"/>
          <w:sz w:val="24"/>
        </w:rPr>
        <w:t>承受破产企业抵偿债务的土地、房屋权属，免征契税；对非债权人承受破</w:t>
      </w:r>
      <w:r>
        <w:rPr>
          <w:color w:val="333333"/>
          <w:spacing w:val="-10"/>
          <w:sz w:val="24"/>
        </w:rPr>
        <w:t>产企业土地、房屋权属，凡按照《中华人民共和国劳动法》等国家有关法律法规</w:t>
      </w:r>
      <w:r>
        <w:rPr>
          <w:color w:val="333333"/>
          <w:spacing w:val="-7"/>
          <w:sz w:val="24"/>
        </w:rPr>
        <w:t xml:space="preserve">政策妥善安置原企业全部职工规定，与原企业全部职工签订服务年限不少于三年的劳动用工合同的，对其承受所购企业土地、房屋权属，免征契税；与原企业超过 </w:t>
      </w:r>
      <w:r>
        <w:rPr>
          <w:color w:val="333333"/>
          <w:sz w:val="24"/>
        </w:rPr>
        <w:t>30%的职工签订服务年限不少于三年的劳动用工合同的，减半征收契税。</w:t>
      </w:r>
    </w:p>
    <w:p>
      <w:pPr>
        <w:pStyle w:val="8"/>
        <w:numPr>
          <w:ilvl w:val="0"/>
          <w:numId w:val="5"/>
        </w:numPr>
        <w:tabs>
          <w:tab w:val="left" w:pos="2481"/>
        </w:tabs>
        <w:spacing w:before="2" w:after="0" w:line="338" w:lineRule="auto"/>
        <w:ind w:left="1800" w:right="1795" w:firstLine="480"/>
        <w:jc w:val="left"/>
        <w:rPr>
          <w:sz w:val="24"/>
        </w:rPr>
      </w:pPr>
      <w:r>
        <w:pict>
          <v:shape id="_x0000_s1033" o:spid="_x0000_s1033" o:spt="136" type="#_x0000_t136" style="position:absolute;left:0pt;margin-left:41.25pt;margin-top:23.6pt;height:132pt;width:528.05pt;mso-position-horizontal-relative:page;rotation:20643840f;z-index:-251649024;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color w:val="333333"/>
          <w:spacing w:val="-9"/>
          <w:sz w:val="24"/>
        </w:rPr>
        <w:t>资产划转。对承受县级以上人民政府或国有资产管理部门按规定进行行政</w:t>
      </w:r>
      <w:r>
        <w:rPr>
          <w:color w:val="333333"/>
          <w:sz w:val="24"/>
        </w:rPr>
        <w:t>性调整、划转国有土地、房屋权属的单位，免征契税。</w:t>
      </w:r>
    </w:p>
    <w:p>
      <w:pPr>
        <w:pStyle w:val="3"/>
        <w:spacing w:before="0" w:line="338" w:lineRule="auto"/>
        <w:ind w:right="1797" w:firstLine="480"/>
        <w:jc w:val="both"/>
        <w:rPr>
          <w:rFonts w:hint="eastAsia" w:ascii="微软雅黑" w:eastAsia="微软雅黑"/>
        </w:rPr>
      </w:pPr>
      <w:r>
        <w:rPr>
          <w:rFonts w:hint="eastAsia" w:ascii="微软雅黑" w:eastAsia="微软雅黑"/>
          <w:color w:val="333333"/>
          <w:spacing w:val="-6"/>
        </w:rPr>
        <w:t>同一投资主体内部所属企业之间土地、房屋权属的划转，包括母公司与其全</w:t>
      </w:r>
      <w:r>
        <w:rPr>
          <w:rFonts w:hint="eastAsia" w:ascii="微软雅黑" w:eastAsia="微软雅黑"/>
          <w:color w:val="333333"/>
          <w:spacing w:val="-10"/>
        </w:rPr>
        <w:t>资子公司之间，同一公司所属全资子公司之间，同一自然人与其设立的个人独资</w:t>
      </w:r>
      <w:r>
        <w:rPr>
          <w:rFonts w:hint="eastAsia" w:ascii="微软雅黑" w:eastAsia="微软雅黑"/>
          <w:color w:val="333333"/>
        </w:rPr>
        <w:t>企业、一人有限公司之间土地、房屋权属的划转，免征契税。</w:t>
      </w:r>
    </w:p>
    <w:p>
      <w:pPr>
        <w:pStyle w:val="3"/>
        <w:ind w:left="2280"/>
        <w:rPr>
          <w:rFonts w:hint="eastAsia" w:ascii="微软雅黑" w:eastAsia="微软雅黑"/>
        </w:rPr>
      </w:pPr>
      <w:r>
        <w:rPr>
          <w:rFonts w:hint="eastAsia" w:ascii="微软雅黑" w:eastAsia="微软雅黑"/>
          <w:color w:val="333333"/>
        </w:rPr>
        <w:t>母公司以土地、房屋权属向其全资子公司增资，视同划转，免征契税。</w:t>
      </w:r>
    </w:p>
    <w:p>
      <w:pPr>
        <w:pStyle w:val="8"/>
        <w:numPr>
          <w:ilvl w:val="0"/>
          <w:numId w:val="5"/>
        </w:numPr>
        <w:tabs>
          <w:tab w:val="left" w:pos="2481"/>
        </w:tabs>
        <w:spacing w:before="182" w:after="0" w:line="338" w:lineRule="auto"/>
        <w:ind w:left="1800" w:right="1795" w:firstLine="480"/>
        <w:jc w:val="left"/>
        <w:rPr>
          <w:sz w:val="24"/>
        </w:rPr>
      </w:pPr>
      <w:r>
        <w:rPr>
          <w:color w:val="333333"/>
          <w:spacing w:val="-7"/>
          <w:sz w:val="24"/>
        </w:rPr>
        <w:t>债权转股权。经国务院批准实施债权转股权的企业，对债权转股权后新设</w:t>
      </w:r>
      <w:r>
        <w:rPr>
          <w:color w:val="333333"/>
          <w:sz w:val="24"/>
        </w:rPr>
        <w:t>立的公司承受原企业的土地、房屋权属，免征契税。</w:t>
      </w:r>
    </w:p>
    <w:p>
      <w:pPr>
        <w:pStyle w:val="8"/>
        <w:numPr>
          <w:ilvl w:val="0"/>
          <w:numId w:val="5"/>
        </w:numPr>
        <w:tabs>
          <w:tab w:val="left" w:pos="2481"/>
        </w:tabs>
        <w:spacing w:before="0" w:after="0" w:line="338" w:lineRule="auto"/>
        <w:ind w:left="1800" w:right="1795" w:firstLine="480"/>
        <w:jc w:val="both"/>
        <w:rPr>
          <w:sz w:val="24"/>
        </w:rPr>
      </w:pPr>
      <w:r>
        <w:rPr>
          <w:color w:val="333333"/>
          <w:spacing w:val="-3"/>
          <w:sz w:val="24"/>
        </w:rPr>
        <w:t>划拨用地出让或作价出资。以出让方式或国家作价出资</w:t>
      </w:r>
      <w:r>
        <w:rPr>
          <w:color w:val="333333"/>
          <w:sz w:val="24"/>
        </w:rPr>
        <w:t>（入股</w:t>
      </w:r>
      <w:r>
        <w:rPr>
          <w:color w:val="333333"/>
          <w:spacing w:val="-17"/>
          <w:sz w:val="24"/>
        </w:rPr>
        <w:t>）</w:t>
      </w:r>
      <w:r>
        <w:rPr>
          <w:color w:val="333333"/>
          <w:spacing w:val="-4"/>
          <w:sz w:val="24"/>
        </w:rPr>
        <w:t>方式承受</w:t>
      </w:r>
      <w:r>
        <w:rPr>
          <w:color w:val="333333"/>
          <w:spacing w:val="-8"/>
          <w:sz w:val="24"/>
        </w:rPr>
        <w:t>原改制重组企业、事业单位划拨用地的，不属上述规定的免税范围，对承受方应</w:t>
      </w:r>
      <w:r>
        <w:rPr>
          <w:color w:val="333333"/>
          <w:sz w:val="24"/>
        </w:rPr>
        <w:t>按规定征收契税。</w:t>
      </w:r>
    </w:p>
    <w:p>
      <w:pPr>
        <w:pStyle w:val="8"/>
        <w:numPr>
          <w:ilvl w:val="0"/>
          <w:numId w:val="5"/>
        </w:numPr>
        <w:tabs>
          <w:tab w:val="left" w:pos="2481"/>
        </w:tabs>
        <w:spacing w:before="1" w:after="0" w:line="338" w:lineRule="auto"/>
        <w:ind w:left="1800" w:right="1795" w:firstLine="480"/>
        <w:jc w:val="left"/>
        <w:rPr>
          <w:sz w:val="24"/>
        </w:rPr>
      </w:pPr>
      <w:r>
        <w:rPr>
          <w:color w:val="333333"/>
          <w:spacing w:val="-2"/>
          <w:sz w:val="24"/>
        </w:rPr>
        <w:t>公司股权</w:t>
      </w:r>
      <w:r>
        <w:rPr>
          <w:color w:val="333333"/>
          <w:sz w:val="24"/>
        </w:rPr>
        <w:t>（股份</w:t>
      </w:r>
      <w:r>
        <w:rPr>
          <w:color w:val="333333"/>
          <w:spacing w:val="-8"/>
          <w:sz w:val="24"/>
        </w:rPr>
        <w:t>）</w:t>
      </w:r>
      <w:r>
        <w:rPr>
          <w:color w:val="333333"/>
          <w:spacing w:val="-4"/>
          <w:sz w:val="24"/>
        </w:rPr>
        <w:t>转让。在股权</w:t>
      </w:r>
      <w:r>
        <w:rPr>
          <w:color w:val="333333"/>
          <w:sz w:val="24"/>
        </w:rPr>
        <w:t>（股份</w:t>
      </w:r>
      <w:r>
        <w:rPr>
          <w:color w:val="333333"/>
          <w:spacing w:val="-8"/>
          <w:sz w:val="24"/>
        </w:rPr>
        <w:t>）</w:t>
      </w:r>
      <w:r>
        <w:rPr>
          <w:color w:val="333333"/>
          <w:spacing w:val="-4"/>
          <w:sz w:val="24"/>
        </w:rPr>
        <w:t>转让中，单位、个人承受公司股</w:t>
      </w:r>
      <w:r>
        <w:rPr>
          <w:color w:val="333333"/>
          <w:sz w:val="24"/>
        </w:rPr>
        <w:t>权（股份），公司土地、房屋权属不发生转移，不征收契税。</w:t>
      </w:r>
    </w:p>
    <w:p>
      <w:pPr>
        <w:spacing w:before="0"/>
        <w:ind w:left="2280" w:right="0" w:firstLine="0"/>
        <w:jc w:val="left"/>
        <w:rPr>
          <w:rFonts w:hint="eastAsia" w:ascii="微软雅黑" w:eastAsia="微软雅黑"/>
          <w:b/>
          <w:sz w:val="24"/>
        </w:rPr>
      </w:pPr>
      <w:r>
        <w:rPr>
          <w:rFonts w:hint="eastAsia" w:ascii="微软雅黑" w:eastAsia="微软雅黑"/>
          <w:b/>
          <w:color w:val="333333"/>
          <w:sz w:val="24"/>
        </w:rPr>
        <w:t>【适用条件】</w:t>
      </w:r>
    </w:p>
    <w:p>
      <w:pPr>
        <w:spacing w:after="0"/>
        <w:jc w:val="left"/>
        <w:rPr>
          <w:rFonts w:hint="eastAsia" w:ascii="微软雅黑" w:eastAsia="微软雅黑"/>
          <w:sz w:val="24"/>
        </w:rPr>
        <w:sectPr>
          <w:pgSz w:w="11910" w:h="16840"/>
          <w:pgMar w:top="1540" w:right="0" w:bottom="1380" w:left="0" w:header="965" w:footer="1182" w:gutter="0"/>
          <w:cols w:space="720" w:num="1"/>
        </w:sectPr>
      </w:pPr>
    </w:p>
    <w:p>
      <w:pPr>
        <w:pStyle w:val="3"/>
        <w:spacing w:before="11"/>
        <w:ind w:left="0"/>
        <w:rPr>
          <w:rFonts w:ascii="微软雅黑"/>
          <w:b/>
          <w:sz w:val="10"/>
        </w:rPr>
      </w:pPr>
    </w:p>
    <w:p>
      <w:pPr>
        <w:pStyle w:val="8"/>
        <w:numPr>
          <w:ilvl w:val="0"/>
          <w:numId w:val="6"/>
        </w:numPr>
        <w:tabs>
          <w:tab w:val="left" w:pos="2481"/>
        </w:tabs>
        <w:spacing w:before="37" w:after="0" w:line="338" w:lineRule="auto"/>
        <w:ind w:left="1800" w:right="1672" w:firstLine="480"/>
        <w:jc w:val="left"/>
        <w:rPr>
          <w:sz w:val="24"/>
        </w:rPr>
      </w:pPr>
      <w:r>
        <w:rPr>
          <w:color w:val="333333"/>
          <w:spacing w:val="-6"/>
          <w:sz w:val="24"/>
        </w:rPr>
        <w:t>企业改制。企业按照《公司法》有关规定整体改制，原企业投资主体存续</w:t>
      </w:r>
      <w:r>
        <w:rPr>
          <w:color w:val="333333"/>
          <w:spacing w:val="-7"/>
          <w:sz w:val="24"/>
        </w:rPr>
        <w:t>并在改制</w:t>
      </w:r>
      <w:r>
        <w:rPr>
          <w:color w:val="333333"/>
          <w:sz w:val="24"/>
        </w:rPr>
        <w:t>（变更</w:t>
      </w:r>
      <w:r>
        <w:rPr>
          <w:color w:val="333333"/>
          <w:spacing w:val="-8"/>
          <w:sz w:val="24"/>
        </w:rPr>
        <w:t>）</w:t>
      </w:r>
      <w:r>
        <w:rPr>
          <w:color w:val="333333"/>
          <w:spacing w:val="-2"/>
          <w:sz w:val="24"/>
        </w:rPr>
        <w:t>后的公司中所持股权</w:t>
      </w:r>
      <w:r>
        <w:rPr>
          <w:color w:val="333333"/>
          <w:sz w:val="24"/>
        </w:rPr>
        <w:t>（股份</w:t>
      </w:r>
      <w:r>
        <w:rPr>
          <w:color w:val="333333"/>
          <w:spacing w:val="-8"/>
          <w:sz w:val="24"/>
        </w:rPr>
        <w:t>）</w:t>
      </w:r>
      <w:r>
        <w:rPr>
          <w:color w:val="333333"/>
          <w:spacing w:val="-2"/>
          <w:sz w:val="24"/>
        </w:rPr>
        <w:t xml:space="preserve">比例超过 </w:t>
      </w:r>
      <w:r>
        <w:rPr>
          <w:color w:val="333333"/>
          <w:spacing w:val="-3"/>
          <w:sz w:val="24"/>
        </w:rPr>
        <w:t>75%</w:t>
      </w:r>
      <w:r>
        <w:rPr>
          <w:color w:val="333333"/>
          <w:spacing w:val="-4"/>
          <w:sz w:val="24"/>
        </w:rPr>
        <w:t>，且改制</w:t>
      </w:r>
      <w:r>
        <w:rPr>
          <w:color w:val="333333"/>
          <w:sz w:val="24"/>
        </w:rPr>
        <w:t>（变更</w:t>
      </w:r>
      <w:r>
        <w:rPr>
          <w:color w:val="333333"/>
          <w:spacing w:val="-11"/>
          <w:sz w:val="24"/>
        </w:rPr>
        <w:t xml:space="preserve">） </w:t>
      </w:r>
      <w:r>
        <w:rPr>
          <w:color w:val="333333"/>
          <w:sz w:val="24"/>
        </w:rPr>
        <w:t>后公司承继原企业权利、义务。</w:t>
      </w:r>
    </w:p>
    <w:p>
      <w:pPr>
        <w:pStyle w:val="8"/>
        <w:numPr>
          <w:ilvl w:val="0"/>
          <w:numId w:val="6"/>
        </w:numPr>
        <w:tabs>
          <w:tab w:val="left" w:pos="2481"/>
        </w:tabs>
        <w:spacing w:before="1" w:after="0" w:line="338" w:lineRule="auto"/>
        <w:ind w:left="1800" w:right="1795" w:firstLine="480"/>
        <w:jc w:val="left"/>
        <w:rPr>
          <w:sz w:val="24"/>
        </w:rPr>
      </w:pPr>
      <w:r>
        <w:rPr>
          <w:color w:val="333333"/>
          <w:spacing w:val="-6"/>
          <w:sz w:val="24"/>
        </w:rPr>
        <w:t>事业单位改制。事业单位按照国家有关规定改制为企业，原投资主体存续</w:t>
      </w:r>
      <w:r>
        <w:rPr>
          <w:color w:val="333333"/>
          <w:sz w:val="24"/>
        </w:rPr>
        <w:t>并在改制后企业中出资（股权、股份）</w:t>
      </w:r>
      <w:r>
        <w:rPr>
          <w:color w:val="333333"/>
          <w:spacing w:val="-3"/>
          <w:sz w:val="24"/>
        </w:rPr>
        <w:t xml:space="preserve">比例超过 </w:t>
      </w:r>
      <w:r>
        <w:rPr>
          <w:color w:val="333333"/>
          <w:sz w:val="24"/>
        </w:rPr>
        <w:t>50%。</w:t>
      </w:r>
    </w:p>
    <w:p>
      <w:pPr>
        <w:pStyle w:val="8"/>
        <w:numPr>
          <w:ilvl w:val="0"/>
          <w:numId w:val="6"/>
        </w:numPr>
        <w:tabs>
          <w:tab w:val="left" w:pos="2481"/>
        </w:tabs>
        <w:spacing w:before="0" w:after="0" w:line="338" w:lineRule="auto"/>
        <w:ind w:left="1800" w:right="1795" w:firstLine="480"/>
        <w:jc w:val="left"/>
        <w:rPr>
          <w:sz w:val="24"/>
        </w:rPr>
      </w:pPr>
      <w:r>
        <w:rPr>
          <w:color w:val="333333"/>
          <w:spacing w:val="-7"/>
          <w:sz w:val="24"/>
        </w:rPr>
        <w:t>公司合并。两个或两个以上的公司，依照法律规定、合同约定，合并为一</w:t>
      </w:r>
      <w:r>
        <w:rPr>
          <w:color w:val="333333"/>
          <w:sz w:val="24"/>
        </w:rPr>
        <w:t>个公司，且原投资主体存续。</w:t>
      </w:r>
    </w:p>
    <w:p>
      <w:pPr>
        <w:pStyle w:val="8"/>
        <w:numPr>
          <w:ilvl w:val="0"/>
          <w:numId w:val="6"/>
        </w:numPr>
        <w:tabs>
          <w:tab w:val="left" w:pos="2481"/>
        </w:tabs>
        <w:spacing w:before="1" w:after="0" w:line="338" w:lineRule="auto"/>
        <w:ind w:left="1800" w:right="1795" w:firstLine="480"/>
        <w:jc w:val="left"/>
        <w:rPr>
          <w:sz w:val="24"/>
        </w:rPr>
      </w:pPr>
      <w:r>
        <w:pict>
          <v:shape id="_x0000_s1034" o:spid="_x0000_s1034" o:spt="136" type="#_x0000_t136" style="position:absolute;left:0pt;margin-left:41.25pt;margin-top:54.75pt;height:132pt;width:528.05pt;mso-position-horizontal-relative:page;rotation:20643840f;z-index:-251648000;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color w:val="333333"/>
          <w:spacing w:val="-8"/>
          <w:sz w:val="24"/>
        </w:rPr>
        <w:t>公司分立。公司依照法律规定、合同约定分立为两个或两个以上与原公司</w:t>
      </w:r>
      <w:r>
        <w:rPr>
          <w:color w:val="333333"/>
          <w:sz w:val="24"/>
        </w:rPr>
        <w:t>投资主体相同的公司。</w:t>
      </w:r>
    </w:p>
    <w:p>
      <w:pPr>
        <w:pStyle w:val="8"/>
        <w:numPr>
          <w:ilvl w:val="0"/>
          <w:numId w:val="6"/>
        </w:numPr>
        <w:tabs>
          <w:tab w:val="left" w:pos="2481"/>
        </w:tabs>
        <w:spacing w:before="0" w:after="0" w:line="338" w:lineRule="auto"/>
        <w:ind w:left="1800" w:right="1675" w:firstLine="480"/>
        <w:jc w:val="left"/>
        <w:rPr>
          <w:sz w:val="24"/>
        </w:rPr>
      </w:pPr>
      <w:r>
        <w:rPr>
          <w:color w:val="333333"/>
          <w:spacing w:val="-6"/>
          <w:sz w:val="24"/>
        </w:rPr>
        <w:t>企业破产。企业依照有关法律法规规定实施破产，债权人</w:t>
      </w:r>
      <w:r>
        <w:rPr>
          <w:color w:val="333333"/>
          <w:sz w:val="24"/>
        </w:rPr>
        <w:t>（包括破产企业职工</w:t>
      </w:r>
      <w:r>
        <w:rPr>
          <w:color w:val="333333"/>
          <w:spacing w:val="-72"/>
          <w:sz w:val="24"/>
        </w:rPr>
        <w:t>）</w:t>
      </w:r>
      <w:r>
        <w:rPr>
          <w:color w:val="333333"/>
          <w:spacing w:val="-10"/>
          <w:sz w:val="24"/>
        </w:rPr>
        <w:t>承受破产企业抵偿债务的土地、房屋权属；对非债权人承受破产企业土地、</w:t>
      </w:r>
      <w:r>
        <w:rPr>
          <w:color w:val="333333"/>
          <w:spacing w:val="-11"/>
          <w:sz w:val="24"/>
        </w:rPr>
        <w:t>房屋权属，凡按照《劳动法》等国家有关法律法规政策妥善安置原企业全部职工规定，与原企业全部职工签订服务年限不少于三年的劳动用工合同；与原企业超</w:t>
      </w:r>
      <w:r>
        <w:rPr>
          <w:color w:val="333333"/>
          <w:spacing w:val="-13"/>
          <w:sz w:val="24"/>
        </w:rPr>
        <w:t xml:space="preserve">过 </w:t>
      </w:r>
      <w:r>
        <w:rPr>
          <w:color w:val="333333"/>
          <w:sz w:val="24"/>
        </w:rPr>
        <w:t>30%的职工签订服务年限不少于三年的劳动用工合同。</w:t>
      </w:r>
    </w:p>
    <w:p>
      <w:pPr>
        <w:pStyle w:val="8"/>
        <w:numPr>
          <w:ilvl w:val="0"/>
          <w:numId w:val="6"/>
        </w:numPr>
        <w:tabs>
          <w:tab w:val="left" w:pos="2481"/>
        </w:tabs>
        <w:spacing w:before="1" w:after="0" w:line="338" w:lineRule="auto"/>
        <w:ind w:left="1800" w:right="1705" w:firstLine="480"/>
        <w:jc w:val="both"/>
        <w:rPr>
          <w:sz w:val="24"/>
        </w:rPr>
      </w:pPr>
      <w:r>
        <w:rPr>
          <w:color w:val="333333"/>
          <w:spacing w:val="-8"/>
          <w:sz w:val="24"/>
        </w:rPr>
        <w:t>资产划转。承受县级以上人民政府或国有资产管理部门按规定进行行政性</w:t>
      </w:r>
      <w:r>
        <w:rPr>
          <w:color w:val="333333"/>
          <w:spacing w:val="-9"/>
          <w:sz w:val="24"/>
        </w:rPr>
        <w:t>调整、划转国有土地、房屋权属的单位；同一投资主体内部所属企业之间土地、</w:t>
      </w:r>
      <w:r>
        <w:rPr>
          <w:color w:val="333333"/>
          <w:spacing w:val="-8"/>
          <w:sz w:val="24"/>
        </w:rPr>
        <w:t>房屋权属的划转，包括母公司与其全资子公司之间，同一公司所属全资子公司之</w:t>
      </w:r>
      <w:r>
        <w:rPr>
          <w:color w:val="333333"/>
          <w:spacing w:val="-10"/>
          <w:sz w:val="24"/>
        </w:rPr>
        <w:t>间，同一自然人与其设立的个人独资企业、一人有限公司之间土地、房屋权属的划转；母公司以土地、房屋权属向其全资子公司增资。</w:t>
      </w:r>
    </w:p>
    <w:p>
      <w:pPr>
        <w:pStyle w:val="8"/>
        <w:numPr>
          <w:ilvl w:val="0"/>
          <w:numId w:val="6"/>
        </w:numPr>
        <w:tabs>
          <w:tab w:val="left" w:pos="2481"/>
        </w:tabs>
        <w:spacing w:before="1" w:after="0" w:line="338" w:lineRule="auto"/>
        <w:ind w:left="1800" w:right="1795" w:firstLine="480"/>
        <w:jc w:val="left"/>
        <w:rPr>
          <w:sz w:val="24"/>
        </w:rPr>
      </w:pPr>
      <w:r>
        <w:rPr>
          <w:color w:val="333333"/>
          <w:spacing w:val="-7"/>
          <w:sz w:val="24"/>
        </w:rPr>
        <w:t>债权转股权。经国务院批准实施债权转股权的企业，对债权转股权后新设</w:t>
      </w:r>
      <w:r>
        <w:rPr>
          <w:color w:val="333333"/>
          <w:sz w:val="24"/>
        </w:rPr>
        <w:t>立的公司承受原企业的土地、房屋权属。</w:t>
      </w:r>
    </w:p>
    <w:p>
      <w:pPr>
        <w:spacing w:before="1"/>
        <w:ind w:left="2280" w:right="0" w:firstLine="0"/>
        <w:jc w:val="left"/>
        <w:rPr>
          <w:rFonts w:hint="eastAsia" w:ascii="微软雅黑" w:eastAsia="微软雅黑"/>
          <w:b/>
          <w:sz w:val="24"/>
        </w:rPr>
      </w:pPr>
      <w:r>
        <w:rPr>
          <w:rFonts w:hint="eastAsia" w:ascii="微软雅黑" w:eastAsia="微软雅黑"/>
          <w:b/>
          <w:color w:val="333333"/>
          <w:sz w:val="24"/>
        </w:rPr>
        <w:t>【备案资料】</w:t>
      </w:r>
    </w:p>
    <w:p>
      <w:pPr>
        <w:spacing w:after="0"/>
        <w:jc w:val="left"/>
        <w:rPr>
          <w:rFonts w:hint="eastAsia" w:ascii="微软雅黑" w:eastAsia="微软雅黑"/>
          <w:sz w:val="24"/>
        </w:rPr>
        <w:sectPr>
          <w:pgSz w:w="11910" w:h="16840"/>
          <w:pgMar w:top="1540" w:right="0" w:bottom="1380" w:left="0" w:header="965" w:footer="1182" w:gutter="0"/>
          <w:cols w:space="720" w:num="1"/>
        </w:sectPr>
      </w:pPr>
    </w:p>
    <w:p>
      <w:pPr>
        <w:pStyle w:val="3"/>
        <w:spacing w:before="11"/>
        <w:ind w:left="0"/>
        <w:rPr>
          <w:rFonts w:ascii="微软雅黑"/>
          <w:b/>
          <w:sz w:val="10"/>
        </w:rPr>
      </w:pPr>
    </w:p>
    <w:p>
      <w:pPr>
        <w:pStyle w:val="3"/>
        <w:spacing w:before="37" w:line="338" w:lineRule="auto"/>
        <w:ind w:right="1797" w:firstLine="480"/>
        <w:jc w:val="both"/>
        <w:rPr>
          <w:rFonts w:hint="eastAsia" w:ascii="微软雅黑" w:eastAsia="微软雅黑"/>
        </w:rPr>
      </w:pPr>
      <w:r>
        <w:rPr>
          <w:rFonts w:hint="eastAsia" w:ascii="微软雅黑" w:eastAsia="微软雅黑"/>
          <w:color w:val="333333"/>
          <w:spacing w:val="-6"/>
        </w:rPr>
        <w:t>企业在提请享受上述契税优惠政策时，应向主管税务机关提交相关资料，包</w:t>
      </w:r>
      <w:r>
        <w:rPr>
          <w:rFonts w:hint="eastAsia" w:ascii="微软雅黑" w:eastAsia="微软雅黑"/>
          <w:color w:val="333333"/>
          <w:spacing w:val="-10"/>
        </w:rPr>
        <w:t>括：上级主管机关批准其改制、重组或董事会决议等证明材料；改制前后的投资</w:t>
      </w:r>
      <w:r>
        <w:rPr>
          <w:rFonts w:hint="eastAsia" w:ascii="微软雅黑" w:eastAsia="微软雅黑"/>
          <w:color w:val="333333"/>
        </w:rPr>
        <w:t>情况的证明材料。</w:t>
      </w:r>
    </w:p>
    <w:p>
      <w:pPr>
        <w:spacing w:before="1"/>
        <w:ind w:left="2280" w:right="0" w:firstLine="0"/>
        <w:jc w:val="left"/>
        <w:rPr>
          <w:rFonts w:hint="eastAsia" w:ascii="微软雅黑" w:eastAsia="微软雅黑"/>
          <w:b/>
          <w:sz w:val="24"/>
          <w:lang w:val="en-US" w:eastAsia="zh-CN"/>
        </w:rPr>
      </w:pPr>
      <w:r>
        <w:rPr>
          <w:rFonts w:hint="eastAsia" w:ascii="微软雅黑" w:eastAsia="微软雅黑"/>
          <w:b/>
          <w:color w:val="333333"/>
          <w:sz w:val="24"/>
        </w:rPr>
        <w:t>【政策依据】</w:t>
      </w:r>
    </w:p>
    <w:p>
      <w:pPr>
        <w:pStyle w:val="3"/>
        <w:spacing w:before="181" w:line="338" w:lineRule="auto"/>
        <w:ind w:right="1797" w:firstLine="480"/>
        <w:rPr>
          <w:rFonts w:hint="eastAsia" w:ascii="微软雅黑" w:eastAsia="微软雅黑"/>
        </w:rPr>
      </w:pPr>
      <w:r>
        <w:fldChar w:fldCharType="begin"/>
      </w:r>
      <w:r>
        <w:instrText xml:space="preserve"> HYPERLINK \l "_bookmark11" </w:instrText>
      </w:r>
      <w:r>
        <w:fldChar w:fldCharType="separate"/>
      </w:r>
      <w:r>
        <w:rPr>
          <w:rFonts w:hint="eastAsia" w:ascii="微软雅黑" w:eastAsia="微软雅黑"/>
          <w:color w:val="800080"/>
          <w:u w:val="single" w:color="800080"/>
        </w:rPr>
        <w:t>《财政部税务总局关于继续执行企业</w:t>
      </w:r>
      <w:r>
        <w:rPr>
          <w:rFonts w:hint="eastAsia" w:ascii="微软雅黑" w:eastAsia="微软雅黑"/>
          <w:color w:val="800080"/>
          <w:u w:val="single" w:color="800080"/>
        </w:rPr>
        <w:fldChar w:fldCharType="end"/>
      </w:r>
      <w:r>
        <w:fldChar w:fldCharType="begin"/>
      </w:r>
      <w:r>
        <w:instrText xml:space="preserve"> HYPERLINK \l "_bookmark11" </w:instrText>
      </w:r>
      <w:r>
        <w:fldChar w:fldCharType="separate"/>
      </w:r>
      <w:r>
        <w:rPr>
          <w:rFonts w:hint="eastAsia" w:ascii="微软雅黑" w:eastAsia="微软雅黑"/>
          <w:color w:val="800080"/>
          <w:spacing w:val="-12"/>
          <w:u w:val="single" w:color="800080"/>
        </w:rPr>
        <w:t>、事业单位改制重组有关契税政策的公</w:t>
      </w:r>
      <w:r>
        <w:rPr>
          <w:rFonts w:hint="eastAsia" w:ascii="微软雅黑" w:eastAsia="微软雅黑"/>
          <w:color w:val="800080"/>
          <w:spacing w:val="-12"/>
          <w:u w:val="single" w:color="800080"/>
        </w:rPr>
        <w:fldChar w:fldCharType="end"/>
      </w:r>
      <w:r>
        <w:rPr>
          <w:rFonts w:hint="eastAsia" w:ascii="微软雅黑" w:eastAsia="微软雅黑"/>
          <w:color w:val="800080"/>
          <w:spacing w:val="-220"/>
          <w:u w:val="single" w:color="800080"/>
        </w:rPr>
        <w:t>告</w:t>
      </w:r>
      <w:r>
        <w:rPr>
          <w:rFonts w:hint="eastAsia" w:ascii="微软雅黑" w:eastAsia="微软雅黑"/>
          <w:color w:val="800080"/>
          <w:u w:val="single" w:color="800080"/>
        </w:rPr>
        <w:t>》（</w:t>
      </w:r>
      <w:r>
        <w:rPr>
          <w:rFonts w:hint="eastAsia" w:ascii="微软雅黑" w:eastAsia="微软雅黑"/>
          <w:color w:val="800080"/>
          <w:u w:val="single" w:color="800080"/>
          <w:lang w:val="en-US" w:eastAsia="zh-CN"/>
        </w:rPr>
        <w:t>财政部 税务总局公告2021年第17号</w:t>
      </w:r>
      <w:r>
        <w:rPr>
          <w:rFonts w:hint="eastAsia" w:ascii="微软雅黑" w:eastAsia="微软雅黑"/>
          <w:color w:val="800080"/>
          <w:u w:val="single" w:color="800080"/>
        </w:rPr>
        <w:t>）</w:t>
      </w:r>
    </w:p>
    <w:p>
      <w:pPr>
        <w:pStyle w:val="3"/>
        <w:spacing w:before="0"/>
        <w:ind w:left="0"/>
        <w:rPr>
          <w:rFonts w:ascii="微软雅黑"/>
          <w:sz w:val="20"/>
        </w:rPr>
      </w:pPr>
    </w:p>
    <w:p>
      <w:pPr>
        <w:pStyle w:val="3"/>
        <w:spacing w:before="2"/>
        <w:ind w:left="0"/>
        <w:rPr>
          <w:rFonts w:ascii="微软雅黑"/>
          <w:sz w:val="27"/>
        </w:rPr>
      </w:pPr>
    </w:p>
    <w:p>
      <w:pPr>
        <w:pStyle w:val="2"/>
        <w:tabs>
          <w:tab w:val="left" w:pos="1319"/>
        </w:tabs>
        <w:spacing w:before="37"/>
        <w:ind w:left="0" w:right="1"/>
        <w:jc w:val="center"/>
      </w:pPr>
      <w:bookmarkStart w:id="6" w:name="_bookmark2"/>
      <w:bookmarkEnd w:id="6"/>
      <w:bookmarkStart w:id="7" w:name="第三部份   土地增值税"/>
      <w:bookmarkEnd w:id="7"/>
      <w:r>
        <w:t>第三部份</w:t>
      </w:r>
      <w:r>
        <w:tab/>
      </w:r>
      <w:r>
        <w:t>土地增值税</w:t>
      </w:r>
    </w:p>
    <w:p>
      <w:pPr>
        <w:pStyle w:val="3"/>
        <w:spacing w:before="18"/>
        <w:ind w:left="0"/>
        <w:rPr>
          <w:rFonts w:ascii="微软雅黑"/>
          <w:b/>
        </w:rPr>
      </w:pPr>
    </w:p>
    <w:p>
      <w:pPr>
        <w:spacing w:before="0"/>
        <w:ind w:left="2280" w:right="0" w:firstLine="0"/>
        <w:jc w:val="left"/>
        <w:rPr>
          <w:rFonts w:hint="eastAsia" w:ascii="微软雅黑" w:eastAsia="微软雅黑"/>
          <w:b/>
          <w:sz w:val="24"/>
        </w:rPr>
      </w:pPr>
      <w:r>
        <w:pict>
          <v:shape id="_x0000_s1035" o:spid="_x0000_s1035" o:spt="136" type="#_x0000_t136" style="position:absolute;left:0pt;margin-left:41.25pt;margin-top:-4.4pt;height:132pt;width:528.05pt;mso-position-horizontal-relative:page;rotation:20643840f;z-index:-251646976;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eastAsia="微软雅黑"/>
          <w:b/>
          <w:color w:val="333333"/>
          <w:sz w:val="24"/>
        </w:rPr>
        <w:t>【适用主体】</w:t>
      </w:r>
    </w:p>
    <w:p>
      <w:pPr>
        <w:pStyle w:val="3"/>
        <w:spacing w:before="181"/>
        <w:ind w:left="2280"/>
        <w:rPr>
          <w:rFonts w:hint="eastAsia" w:ascii="微软雅黑" w:eastAsia="微软雅黑"/>
        </w:rPr>
      </w:pPr>
      <w:r>
        <w:rPr>
          <w:rFonts w:hint="eastAsia" w:ascii="微软雅黑" w:eastAsia="微软雅黑"/>
          <w:color w:val="333333"/>
        </w:rPr>
        <w:t>实施改制重组的企业</w:t>
      </w:r>
    </w:p>
    <w:p>
      <w:pPr>
        <w:spacing w:before="182"/>
        <w:ind w:left="2280" w:right="0" w:firstLine="0"/>
        <w:jc w:val="left"/>
        <w:rPr>
          <w:rFonts w:hint="eastAsia" w:ascii="微软雅黑" w:eastAsia="微软雅黑"/>
          <w:b/>
          <w:sz w:val="24"/>
        </w:rPr>
      </w:pPr>
      <w:r>
        <w:rPr>
          <w:rFonts w:hint="eastAsia" w:ascii="微软雅黑" w:eastAsia="微软雅黑"/>
          <w:b/>
          <w:color w:val="333333"/>
          <w:sz w:val="24"/>
        </w:rPr>
        <w:t>【政策内容】</w:t>
      </w:r>
    </w:p>
    <w:p>
      <w:pPr>
        <w:pStyle w:val="8"/>
        <w:numPr>
          <w:ilvl w:val="0"/>
          <w:numId w:val="7"/>
        </w:numPr>
        <w:tabs>
          <w:tab w:val="left" w:pos="2481"/>
        </w:tabs>
        <w:spacing w:before="182" w:after="0" w:line="338" w:lineRule="auto"/>
        <w:ind w:left="1800" w:right="1795" w:firstLine="480"/>
        <w:jc w:val="both"/>
        <w:rPr>
          <w:color w:val="333333"/>
          <w:sz w:val="22"/>
        </w:rPr>
      </w:pPr>
      <w:r>
        <w:rPr>
          <w:color w:val="333333"/>
          <w:spacing w:val="-5"/>
          <w:sz w:val="24"/>
        </w:rPr>
        <w:t>企业整体改制暂不征土地增值税。企业按照《中华人民共和国公司法》有</w:t>
      </w:r>
      <w:r>
        <w:rPr>
          <w:color w:val="333333"/>
          <w:spacing w:val="-9"/>
          <w:sz w:val="24"/>
        </w:rPr>
        <w:t>关规定整体改制，包括非公司制企业改制为有限责任公司或股份有限公司，有限</w:t>
      </w:r>
      <w:r>
        <w:rPr>
          <w:color w:val="333333"/>
          <w:spacing w:val="-7"/>
          <w:sz w:val="24"/>
        </w:rPr>
        <w:t>责任公司变更为股份有限公司，股份有限公司变更为有限责任公司，对改制前的</w:t>
      </w:r>
      <w:r>
        <w:rPr>
          <w:color w:val="333333"/>
          <w:spacing w:val="-4"/>
          <w:sz w:val="24"/>
        </w:rPr>
        <w:t>企业将国有土地使用权、地上的建筑物及其附着物</w:t>
      </w:r>
      <w:r>
        <w:rPr>
          <w:color w:val="333333"/>
          <w:sz w:val="24"/>
        </w:rPr>
        <w:t>（以下称房地产</w:t>
      </w:r>
      <w:r>
        <w:rPr>
          <w:color w:val="333333"/>
          <w:spacing w:val="-24"/>
          <w:sz w:val="24"/>
        </w:rPr>
        <w:t>）</w:t>
      </w:r>
      <w:r>
        <w:rPr>
          <w:color w:val="333333"/>
          <w:spacing w:val="-9"/>
          <w:sz w:val="24"/>
        </w:rPr>
        <w:t>转移、变更</w:t>
      </w:r>
      <w:r>
        <w:rPr>
          <w:color w:val="333333"/>
          <w:sz w:val="24"/>
        </w:rPr>
        <w:t>到改制后的企业，暂不征土地增值税。</w:t>
      </w:r>
    </w:p>
    <w:p>
      <w:pPr>
        <w:pStyle w:val="3"/>
        <w:spacing w:line="338" w:lineRule="auto"/>
        <w:ind w:right="1797" w:firstLine="480"/>
        <w:rPr>
          <w:rFonts w:hint="eastAsia" w:ascii="微软雅黑" w:eastAsia="微软雅黑"/>
        </w:rPr>
      </w:pPr>
      <w:r>
        <w:rPr>
          <w:rFonts w:hint="eastAsia" w:ascii="微软雅黑" w:eastAsia="微软雅黑"/>
          <w:color w:val="333333"/>
          <w:spacing w:val="-6"/>
        </w:rPr>
        <w:t>本公告所称整体改制是指不改变原企业的投资主体，并承继原企业权利、义</w:t>
      </w:r>
      <w:r>
        <w:rPr>
          <w:rFonts w:hint="eastAsia" w:ascii="微软雅黑" w:eastAsia="微软雅黑"/>
          <w:color w:val="333333"/>
        </w:rPr>
        <w:t>务的行为。</w:t>
      </w:r>
    </w:p>
    <w:p>
      <w:pPr>
        <w:pStyle w:val="8"/>
        <w:numPr>
          <w:ilvl w:val="0"/>
          <w:numId w:val="7"/>
        </w:numPr>
        <w:tabs>
          <w:tab w:val="left" w:pos="2640"/>
        </w:tabs>
        <w:spacing w:before="0" w:after="0" w:line="338" w:lineRule="auto"/>
        <w:ind w:left="1800" w:right="1705" w:firstLine="480"/>
        <w:jc w:val="both"/>
        <w:rPr>
          <w:rFonts w:hint="eastAsia" w:ascii="宋体" w:eastAsia="宋体"/>
          <w:color w:val="333333"/>
          <w:sz w:val="26"/>
        </w:rPr>
      </w:pPr>
      <w:r>
        <w:rPr>
          <w:color w:val="333333"/>
          <w:sz w:val="24"/>
        </w:rPr>
        <w:t>企业合并暂不征土地增值税。按照法律规定或者合同约定，两个或两个</w:t>
      </w:r>
      <w:r>
        <w:rPr>
          <w:color w:val="333333"/>
          <w:spacing w:val="-1"/>
          <w:sz w:val="24"/>
        </w:rPr>
        <w:t>以上企业合并为一个企业，且原企业投资主体存续的，对原企业将房地产转移、</w:t>
      </w:r>
      <w:r>
        <w:rPr>
          <w:color w:val="333333"/>
          <w:sz w:val="24"/>
        </w:rPr>
        <w:t>变更到合并后的企业，暂不征土地增值税。</w:t>
      </w:r>
    </w:p>
    <w:p>
      <w:pPr>
        <w:spacing w:after="0" w:line="338" w:lineRule="auto"/>
        <w:jc w:val="both"/>
        <w:rPr>
          <w:rFonts w:hint="eastAsia" w:ascii="宋体" w:eastAsia="宋体"/>
          <w:sz w:val="26"/>
        </w:rPr>
        <w:sectPr>
          <w:pgSz w:w="11910" w:h="16840"/>
          <w:pgMar w:top="1540" w:right="0" w:bottom="1380" w:left="0" w:header="965" w:footer="1182" w:gutter="0"/>
          <w:cols w:space="720" w:num="1"/>
        </w:sectPr>
      </w:pPr>
    </w:p>
    <w:p>
      <w:pPr>
        <w:pStyle w:val="3"/>
        <w:spacing w:before="11"/>
        <w:ind w:left="0"/>
        <w:rPr>
          <w:rFonts w:ascii="微软雅黑"/>
          <w:sz w:val="10"/>
        </w:rPr>
      </w:pPr>
    </w:p>
    <w:p>
      <w:pPr>
        <w:pStyle w:val="8"/>
        <w:numPr>
          <w:ilvl w:val="0"/>
          <w:numId w:val="7"/>
        </w:numPr>
        <w:tabs>
          <w:tab w:val="left" w:pos="2640"/>
        </w:tabs>
        <w:spacing w:before="37" w:after="0" w:line="338" w:lineRule="auto"/>
        <w:ind w:left="1800" w:right="1797" w:firstLine="480"/>
        <w:jc w:val="both"/>
        <w:rPr>
          <w:color w:val="333333"/>
          <w:sz w:val="24"/>
        </w:rPr>
      </w:pPr>
      <w:r>
        <w:rPr>
          <w:color w:val="333333"/>
          <w:spacing w:val="-1"/>
          <w:sz w:val="24"/>
        </w:rPr>
        <w:t>企业分立暂不征土地增值税。按照法律规定或者合同约定，企业分设为</w:t>
      </w:r>
      <w:r>
        <w:rPr>
          <w:color w:val="333333"/>
          <w:spacing w:val="-6"/>
          <w:sz w:val="24"/>
        </w:rPr>
        <w:t>两个或两个以上与原企业投资主体相同的企业，对原企业将房地产转移、变更到</w:t>
      </w:r>
      <w:r>
        <w:rPr>
          <w:color w:val="333333"/>
          <w:sz w:val="24"/>
        </w:rPr>
        <w:t>分立后的企业，暂不征土地增值税。</w:t>
      </w:r>
    </w:p>
    <w:p>
      <w:pPr>
        <w:pStyle w:val="8"/>
        <w:numPr>
          <w:ilvl w:val="0"/>
          <w:numId w:val="7"/>
        </w:numPr>
        <w:tabs>
          <w:tab w:val="left" w:pos="2640"/>
        </w:tabs>
        <w:spacing w:before="1" w:after="0" w:line="338" w:lineRule="auto"/>
        <w:ind w:left="1800" w:right="1797" w:firstLine="480"/>
        <w:jc w:val="both"/>
        <w:rPr>
          <w:color w:val="333333"/>
          <w:sz w:val="24"/>
        </w:rPr>
      </w:pPr>
      <w:r>
        <w:rPr>
          <w:color w:val="333333"/>
          <w:spacing w:val="-1"/>
          <w:sz w:val="24"/>
        </w:rPr>
        <w:t>单位、个人在改制重组时以房地产作价入股进行投资，对其将房地产转</w:t>
      </w:r>
      <w:r>
        <w:rPr>
          <w:color w:val="333333"/>
          <w:sz w:val="24"/>
        </w:rPr>
        <w:t>移、变更到被投资的企业，暂不征土地增值税。</w:t>
      </w:r>
    </w:p>
    <w:p>
      <w:pPr>
        <w:pStyle w:val="8"/>
        <w:numPr>
          <w:ilvl w:val="0"/>
          <w:numId w:val="7"/>
        </w:numPr>
        <w:tabs>
          <w:tab w:val="left" w:pos="2640"/>
        </w:tabs>
        <w:spacing w:before="0" w:after="0" w:line="338" w:lineRule="auto"/>
        <w:ind w:left="1800" w:right="1771" w:firstLine="480"/>
        <w:jc w:val="both"/>
        <w:rPr>
          <w:color w:val="333333"/>
          <w:sz w:val="24"/>
        </w:rPr>
      </w:pPr>
      <w:r>
        <w:pict>
          <v:shape id="_x0000_s1036" o:spid="_x0000_s1036" o:spt="136" type="#_x0000_t136" style="position:absolute;left:0pt;margin-left:41.25pt;margin-top:117.1pt;height:132pt;width:528.05pt;mso-position-horizontal-relative:page;rotation:20643840f;z-index:-251645952;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color w:val="333333"/>
          <w:sz w:val="24"/>
        </w:rPr>
        <w:t>改制重组后再转让房地产并申报缴纳土地增值税时，对“取得土地使用</w:t>
      </w:r>
      <w:r>
        <w:rPr>
          <w:color w:val="333333"/>
          <w:spacing w:val="-10"/>
          <w:sz w:val="24"/>
        </w:rPr>
        <w:t>权所支付的金额”，按照改制重组前取得该宗国有土地使用权所支付的地价款和</w:t>
      </w:r>
      <w:r>
        <w:rPr>
          <w:color w:val="333333"/>
          <w:sz w:val="24"/>
        </w:rPr>
        <w:t>按国家统一规定缴纳的有关费用确定；经批准以国有土地使用权作价出资入股</w:t>
      </w:r>
      <w:r>
        <w:rPr>
          <w:color w:val="333333"/>
          <w:spacing w:val="-9"/>
          <w:sz w:val="24"/>
        </w:rPr>
        <w:t>的，为作价入股时县级及以上自然资源部门批准的评估价格。按购房发票确定扣</w:t>
      </w:r>
      <w:r>
        <w:rPr>
          <w:color w:val="333333"/>
          <w:spacing w:val="-13"/>
          <w:sz w:val="24"/>
        </w:rPr>
        <w:t>除项目金额的，按照改制重组前购房发票所载金额并从购买年度起至本次转让年</w:t>
      </w:r>
      <w:r>
        <w:rPr>
          <w:color w:val="333333"/>
          <w:spacing w:val="-14"/>
          <w:sz w:val="24"/>
        </w:rPr>
        <w:t xml:space="preserve">度止每年加计 </w:t>
      </w:r>
      <w:r>
        <w:rPr>
          <w:color w:val="333333"/>
          <w:sz w:val="24"/>
        </w:rPr>
        <w:t>5</w:t>
      </w:r>
      <w:r>
        <w:rPr>
          <w:color w:val="333333"/>
          <w:spacing w:val="-1"/>
          <w:sz w:val="24"/>
        </w:rPr>
        <w:t>%计算扣除项目金额，购买年度是指购房发票所载日期的当年。</w:t>
      </w:r>
    </w:p>
    <w:p>
      <w:pPr>
        <w:spacing w:before="2"/>
        <w:ind w:left="2280" w:right="0" w:firstLine="0"/>
        <w:jc w:val="left"/>
        <w:rPr>
          <w:rFonts w:hint="eastAsia" w:ascii="微软雅黑" w:eastAsia="微软雅黑"/>
          <w:b/>
          <w:sz w:val="24"/>
        </w:rPr>
      </w:pPr>
      <w:r>
        <w:rPr>
          <w:rFonts w:hint="eastAsia" w:ascii="微软雅黑" w:eastAsia="微软雅黑"/>
          <w:b/>
          <w:color w:val="333333"/>
          <w:sz w:val="24"/>
        </w:rPr>
        <w:t>【适用条件】</w:t>
      </w:r>
    </w:p>
    <w:p>
      <w:pPr>
        <w:pStyle w:val="8"/>
        <w:numPr>
          <w:ilvl w:val="0"/>
          <w:numId w:val="8"/>
        </w:numPr>
        <w:tabs>
          <w:tab w:val="left" w:pos="2481"/>
        </w:tabs>
        <w:spacing w:before="181" w:after="0" w:line="338" w:lineRule="auto"/>
        <w:ind w:left="1800" w:right="1795" w:firstLine="480"/>
        <w:jc w:val="both"/>
        <w:rPr>
          <w:sz w:val="24"/>
        </w:rPr>
      </w:pPr>
      <w:r>
        <w:rPr>
          <w:color w:val="333333"/>
          <w:spacing w:val="-5"/>
          <w:sz w:val="24"/>
        </w:rPr>
        <w:t>企业整体改制暂不征土地增值税，应属于整体改制范围，即：不改变原企</w:t>
      </w:r>
      <w:r>
        <w:rPr>
          <w:color w:val="333333"/>
          <w:spacing w:val="-8"/>
          <w:sz w:val="24"/>
        </w:rPr>
        <w:t>业的投资主体</w:t>
      </w:r>
      <w:r>
        <w:rPr>
          <w:color w:val="333333"/>
          <w:sz w:val="24"/>
        </w:rPr>
        <w:t>（</w:t>
      </w:r>
      <w:r>
        <w:rPr>
          <w:color w:val="333333"/>
          <w:spacing w:val="-4"/>
          <w:sz w:val="24"/>
        </w:rPr>
        <w:t>企业改制重组前后出资人不发生变动，出资人的出资比例可以发</w:t>
      </w:r>
      <w:r>
        <w:rPr>
          <w:color w:val="333333"/>
          <w:sz w:val="24"/>
        </w:rPr>
        <w:t>生变动），并承继原企业权利、义务。</w:t>
      </w:r>
    </w:p>
    <w:p>
      <w:pPr>
        <w:pStyle w:val="8"/>
        <w:numPr>
          <w:ilvl w:val="0"/>
          <w:numId w:val="8"/>
        </w:numPr>
        <w:tabs>
          <w:tab w:val="left" w:pos="2481"/>
        </w:tabs>
        <w:spacing w:before="1" w:after="0" w:line="338" w:lineRule="auto"/>
        <w:ind w:left="1800" w:right="1795" w:firstLine="480"/>
        <w:jc w:val="left"/>
        <w:rPr>
          <w:sz w:val="24"/>
        </w:rPr>
      </w:pPr>
      <w:r>
        <w:rPr>
          <w:color w:val="333333"/>
          <w:spacing w:val="-5"/>
          <w:sz w:val="24"/>
        </w:rPr>
        <w:t>企业合并暂不征土地增值税，原投资主体应存续，即：合并前原企业出资</w:t>
      </w:r>
      <w:r>
        <w:rPr>
          <w:color w:val="333333"/>
          <w:sz w:val="24"/>
        </w:rPr>
        <w:t>人必须存在于合并后的企业，出资人的出资比例可以发生变动。</w:t>
      </w:r>
    </w:p>
    <w:p>
      <w:pPr>
        <w:pStyle w:val="8"/>
        <w:numPr>
          <w:ilvl w:val="0"/>
          <w:numId w:val="8"/>
        </w:numPr>
        <w:tabs>
          <w:tab w:val="left" w:pos="2484"/>
        </w:tabs>
        <w:spacing w:before="0" w:after="0" w:line="338" w:lineRule="auto"/>
        <w:ind w:left="1800" w:right="1797" w:firstLine="480"/>
        <w:jc w:val="left"/>
        <w:rPr>
          <w:sz w:val="24"/>
        </w:rPr>
      </w:pPr>
      <w:r>
        <w:rPr>
          <w:color w:val="333333"/>
          <w:spacing w:val="3"/>
          <w:sz w:val="24"/>
        </w:rPr>
        <w:t>企业分立暂不征土地增值税，分立成立的企业与原企业的投资主体应相同，即：分立前后出资人不发生变动，出资人的出资比例可以发生变动。</w:t>
      </w:r>
    </w:p>
    <w:p>
      <w:pPr>
        <w:pStyle w:val="8"/>
        <w:numPr>
          <w:ilvl w:val="0"/>
          <w:numId w:val="8"/>
        </w:numPr>
        <w:tabs>
          <w:tab w:val="left" w:pos="2484"/>
        </w:tabs>
        <w:spacing w:before="1" w:after="0" w:line="338" w:lineRule="auto"/>
        <w:ind w:left="1800" w:right="1797" w:firstLine="480"/>
        <w:jc w:val="left"/>
        <w:rPr>
          <w:sz w:val="24"/>
        </w:rPr>
      </w:pPr>
      <w:r>
        <w:rPr>
          <w:color w:val="333333"/>
          <w:spacing w:val="3"/>
          <w:sz w:val="24"/>
        </w:rPr>
        <w:t>上述改制重组有关土地增值税政策不适用于房地产转移任意一方为房地产开发企业的情形。</w:t>
      </w:r>
    </w:p>
    <w:p>
      <w:pPr>
        <w:pStyle w:val="8"/>
        <w:numPr>
          <w:ilvl w:val="0"/>
          <w:numId w:val="8"/>
        </w:numPr>
        <w:tabs>
          <w:tab w:val="left" w:pos="2481"/>
        </w:tabs>
        <w:spacing w:before="0" w:after="0" w:line="240" w:lineRule="auto"/>
        <w:ind w:left="2480" w:right="0" w:hanging="201"/>
        <w:jc w:val="left"/>
        <w:rPr>
          <w:sz w:val="24"/>
        </w:rPr>
      </w:pPr>
      <w:r>
        <w:rPr>
          <w:color w:val="333333"/>
          <w:spacing w:val="-2"/>
          <w:sz w:val="24"/>
        </w:rPr>
        <w:t xml:space="preserve">上述政策执行期限为 </w:t>
      </w:r>
      <w:r>
        <w:rPr>
          <w:color w:val="333333"/>
          <w:sz w:val="24"/>
        </w:rPr>
        <w:t>2021</w:t>
      </w:r>
      <w:r>
        <w:rPr>
          <w:color w:val="333333"/>
          <w:spacing w:val="-8"/>
          <w:sz w:val="24"/>
        </w:rPr>
        <w:t xml:space="preserve"> 年 </w:t>
      </w:r>
      <w:r>
        <w:rPr>
          <w:color w:val="333333"/>
          <w:sz w:val="24"/>
        </w:rPr>
        <w:t>1</w:t>
      </w:r>
      <w:r>
        <w:rPr>
          <w:color w:val="333333"/>
          <w:spacing w:val="-8"/>
          <w:sz w:val="24"/>
        </w:rPr>
        <w:t xml:space="preserve"> 月 </w:t>
      </w:r>
      <w:r>
        <w:rPr>
          <w:color w:val="333333"/>
          <w:sz w:val="24"/>
        </w:rPr>
        <w:t>1</w:t>
      </w:r>
      <w:r>
        <w:rPr>
          <w:color w:val="333333"/>
          <w:spacing w:val="-7"/>
          <w:sz w:val="24"/>
        </w:rPr>
        <w:t xml:space="preserve"> 日至 </w:t>
      </w:r>
      <w:r>
        <w:rPr>
          <w:color w:val="333333"/>
          <w:sz w:val="24"/>
        </w:rPr>
        <w:t>2023</w:t>
      </w:r>
      <w:r>
        <w:rPr>
          <w:color w:val="333333"/>
          <w:spacing w:val="-8"/>
          <w:sz w:val="24"/>
        </w:rPr>
        <w:t xml:space="preserve"> 年 </w:t>
      </w:r>
      <w:r>
        <w:rPr>
          <w:color w:val="333333"/>
          <w:sz w:val="24"/>
        </w:rPr>
        <w:t>12</w:t>
      </w:r>
      <w:r>
        <w:rPr>
          <w:color w:val="333333"/>
          <w:spacing w:val="-9"/>
          <w:sz w:val="24"/>
        </w:rPr>
        <w:t xml:space="preserve"> 月 </w:t>
      </w:r>
      <w:r>
        <w:rPr>
          <w:color w:val="333333"/>
          <w:sz w:val="24"/>
        </w:rPr>
        <w:t>31</w:t>
      </w:r>
      <w:r>
        <w:rPr>
          <w:color w:val="333333"/>
          <w:spacing w:val="-7"/>
          <w:sz w:val="24"/>
        </w:rPr>
        <w:t xml:space="preserve"> 日</w:t>
      </w:r>
      <w:r>
        <w:rPr>
          <w:color w:val="FF0000"/>
          <w:sz w:val="24"/>
        </w:rPr>
        <w:t>。</w:t>
      </w:r>
    </w:p>
    <w:p>
      <w:pPr>
        <w:spacing w:after="0" w:line="240" w:lineRule="auto"/>
        <w:jc w:val="left"/>
        <w:rPr>
          <w:sz w:val="24"/>
        </w:rPr>
        <w:sectPr>
          <w:pgSz w:w="11910" w:h="16840"/>
          <w:pgMar w:top="1540" w:right="0" w:bottom="1380" w:left="0" w:header="965" w:footer="1182" w:gutter="0"/>
          <w:cols w:space="720" w:num="1"/>
        </w:sectPr>
      </w:pPr>
    </w:p>
    <w:p>
      <w:pPr>
        <w:pStyle w:val="3"/>
        <w:spacing w:before="11"/>
        <w:ind w:left="0"/>
        <w:rPr>
          <w:rFonts w:ascii="微软雅黑"/>
          <w:sz w:val="10"/>
        </w:rPr>
      </w:pPr>
    </w:p>
    <w:p>
      <w:pPr>
        <w:spacing w:before="37"/>
        <w:ind w:left="2280" w:right="0" w:firstLine="0"/>
        <w:jc w:val="left"/>
        <w:rPr>
          <w:rFonts w:hint="eastAsia" w:ascii="微软雅黑" w:eastAsia="微软雅黑"/>
          <w:b/>
          <w:sz w:val="24"/>
        </w:rPr>
      </w:pPr>
      <w:r>
        <w:rPr>
          <w:rFonts w:hint="eastAsia" w:ascii="微软雅黑" w:eastAsia="微软雅黑"/>
          <w:b/>
          <w:color w:val="333333"/>
          <w:sz w:val="24"/>
        </w:rPr>
        <w:t>【备案资料】</w:t>
      </w:r>
    </w:p>
    <w:p>
      <w:pPr>
        <w:pStyle w:val="3"/>
        <w:spacing w:before="182" w:line="338" w:lineRule="auto"/>
        <w:ind w:right="1797" w:firstLine="480"/>
        <w:rPr>
          <w:rFonts w:hint="eastAsia" w:ascii="微软雅黑" w:eastAsia="微软雅黑"/>
        </w:rPr>
      </w:pPr>
      <w:r>
        <w:rPr>
          <w:rFonts w:hint="eastAsia" w:ascii="微软雅黑" w:eastAsia="微软雅黑"/>
          <w:color w:val="333333"/>
          <w:spacing w:val="-6"/>
        </w:rPr>
        <w:t>企业在提请享受上述土地增值税优惠政策时，应向主管税务机关提交相关资</w:t>
      </w:r>
      <w:r>
        <w:rPr>
          <w:rFonts w:hint="eastAsia" w:ascii="微软雅黑" w:eastAsia="微软雅黑"/>
          <w:color w:val="333333"/>
        </w:rPr>
        <w:t>料，包括：改制重组协议或等效文件；相关各方工商部门变更登记相关材料。</w:t>
      </w:r>
    </w:p>
    <w:p>
      <w:pPr>
        <w:spacing w:before="0"/>
        <w:ind w:left="2280" w:right="0" w:firstLine="0"/>
        <w:jc w:val="left"/>
        <w:rPr>
          <w:rFonts w:hint="eastAsia" w:ascii="微软雅黑" w:eastAsia="微软雅黑"/>
          <w:b/>
          <w:sz w:val="24"/>
        </w:rPr>
      </w:pPr>
      <w:r>
        <w:rPr>
          <w:rFonts w:hint="eastAsia" w:ascii="微软雅黑" w:eastAsia="微软雅黑"/>
          <w:b/>
          <w:color w:val="333333"/>
          <w:sz w:val="24"/>
        </w:rPr>
        <w:t>【政策依据】</w:t>
      </w:r>
    </w:p>
    <w:p>
      <w:pPr>
        <w:pStyle w:val="3"/>
        <w:spacing w:before="182"/>
        <w:ind w:left="2280"/>
        <w:rPr>
          <w:rFonts w:hint="eastAsia" w:ascii="微软雅黑" w:eastAsia="微软雅黑"/>
        </w:rPr>
      </w:pPr>
      <w:r>
        <w:fldChar w:fldCharType="begin"/>
      </w:r>
      <w:r>
        <w:instrText xml:space="preserve"> HYPERLINK \l "_bookmark12" </w:instrText>
      </w:r>
      <w:r>
        <w:fldChar w:fldCharType="separate"/>
      </w:r>
      <w:r>
        <w:rPr>
          <w:rFonts w:hint="eastAsia" w:ascii="微软雅黑" w:eastAsia="微软雅黑"/>
          <w:color w:val="800080"/>
          <w:u w:val="single" w:color="800080"/>
        </w:rPr>
        <w:t>《财政部税务总局关于继续实施企业改制重组有关土地增值税政策的通知》</w:t>
      </w:r>
      <w:r>
        <w:rPr>
          <w:rFonts w:hint="eastAsia" w:ascii="微软雅黑" w:eastAsia="微软雅黑"/>
          <w:color w:val="800080"/>
          <w:u w:val="single" w:color="800080"/>
        </w:rPr>
        <w:fldChar w:fldCharType="end"/>
      </w:r>
    </w:p>
    <w:p>
      <w:pPr>
        <w:pStyle w:val="3"/>
        <w:spacing w:before="181"/>
        <w:rPr>
          <w:rFonts w:hint="eastAsia" w:ascii="微软雅黑" w:eastAsia="微软雅黑"/>
        </w:rPr>
      </w:pPr>
      <w:r>
        <w:rPr>
          <w:rFonts w:hint="eastAsia" w:ascii="微软雅黑" w:eastAsia="微软雅黑"/>
          <w:color w:val="800080"/>
          <w:u w:val="single" w:color="800080"/>
        </w:rPr>
        <w:t>（</w:t>
      </w:r>
      <w:r>
        <w:rPr>
          <w:rFonts w:hint="eastAsia" w:ascii="微软雅黑" w:eastAsia="微软雅黑"/>
          <w:color w:val="800080"/>
          <w:u w:val="single" w:color="800080"/>
          <w:lang w:val="en-US" w:eastAsia="zh-CN"/>
        </w:rPr>
        <w:t>财政部 税务总局公告2021年第21号</w:t>
      </w:r>
      <w:r>
        <w:rPr>
          <w:rFonts w:hint="eastAsia" w:ascii="微软雅黑" w:eastAsia="微软雅黑"/>
          <w:color w:val="800080"/>
          <w:u w:val="single" w:color="800080"/>
        </w:rPr>
        <w:t>）</w:t>
      </w:r>
    </w:p>
    <w:p>
      <w:pPr>
        <w:pStyle w:val="3"/>
        <w:ind w:left="0"/>
        <w:rPr>
          <w:rFonts w:ascii="微软雅黑"/>
          <w:sz w:val="23"/>
        </w:rPr>
      </w:pPr>
    </w:p>
    <w:p>
      <w:pPr>
        <w:pStyle w:val="2"/>
        <w:tabs>
          <w:tab w:val="left" w:pos="1319"/>
        </w:tabs>
        <w:spacing w:before="38"/>
        <w:ind w:left="0" w:right="1"/>
        <w:jc w:val="center"/>
      </w:pPr>
      <w:bookmarkStart w:id="8" w:name="第四部份   印花税"/>
      <w:bookmarkEnd w:id="8"/>
      <w:bookmarkStart w:id="9" w:name="_bookmark3"/>
      <w:bookmarkEnd w:id="9"/>
      <w:r>
        <w:t>第四部份</w:t>
      </w:r>
      <w:r>
        <w:tab/>
      </w:r>
      <w:r>
        <w:t>印花税</w:t>
      </w:r>
    </w:p>
    <w:p>
      <w:pPr>
        <w:pStyle w:val="3"/>
        <w:spacing w:before="17"/>
        <w:ind w:left="0"/>
        <w:rPr>
          <w:rFonts w:ascii="微软雅黑"/>
          <w:b/>
        </w:rPr>
      </w:pPr>
    </w:p>
    <w:p>
      <w:pPr>
        <w:spacing w:before="0"/>
        <w:ind w:left="2280" w:right="0" w:firstLine="0"/>
        <w:jc w:val="left"/>
        <w:rPr>
          <w:rFonts w:hint="eastAsia" w:ascii="微软雅黑" w:eastAsia="微软雅黑"/>
          <w:b/>
          <w:sz w:val="24"/>
        </w:rPr>
      </w:pPr>
      <w:r>
        <w:rPr>
          <w:rFonts w:hint="eastAsia" w:ascii="微软雅黑" w:eastAsia="微软雅黑"/>
          <w:b/>
          <w:color w:val="333333"/>
          <w:sz w:val="24"/>
        </w:rPr>
        <w:t>【适用主体】</w:t>
      </w:r>
    </w:p>
    <w:p>
      <w:pPr>
        <w:pStyle w:val="3"/>
        <w:spacing w:before="182"/>
        <w:ind w:left="2280"/>
        <w:rPr>
          <w:rFonts w:hint="eastAsia" w:ascii="微软雅黑" w:eastAsia="微软雅黑"/>
        </w:rPr>
      </w:pPr>
      <w:r>
        <w:pict>
          <v:shape id="_x0000_s1037" o:spid="_x0000_s1037" o:spt="136" type="#_x0000_t136" style="position:absolute;left:0pt;margin-left:41.25pt;margin-top:4.65pt;height:132pt;width:528.05pt;mso-position-horizontal-relative:page;rotation:20643840f;z-index:-251644928;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eastAsia="微软雅黑"/>
          <w:color w:val="333333"/>
        </w:rPr>
        <w:t>经县级以上人民政府及企业主管部门批准改制的企业。</w:t>
      </w:r>
    </w:p>
    <w:p>
      <w:pPr>
        <w:spacing w:before="182"/>
        <w:ind w:left="2280" w:right="0" w:firstLine="0"/>
        <w:jc w:val="left"/>
        <w:rPr>
          <w:rFonts w:hint="eastAsia" w:ascii="微软雅黑" w:eastAsia="微软雅黑"/>
          <w:b/>
          <w:sz w:val="24"/>
        </w:rPr>
      </w:pPr>
      <w:r>
        <w:rPr>
          <w:rFonts w:hint="eastAsia" w:ascii="微软雅黑" w:eastAsia="微软雅黑"/>
          <w:b/>
          <w:color w:val="333333"/>
          <w:sz w:val="24"/>
        </w:rPr>
        <w:t>【政策内容】</w:t>
      </w:r>
    </w:p>
    <w:p>
      <w:pPr>
        <w:pStyle w:val="8"/>
        <w:numPr>
          <w:ilvl w:val="0"/>
          <w:numId w:val="9"/>
        </w:numPr>
        <w:tabs>
          <w:tab w:val="left" w:pos="2481"/>
        </w:tabs>
        <w:spacing w:before="181" w:after="0" w:line="240" w:lineRule="auto"/>
        <w:ind w:left="2480" w:right="0" w:hanging="201"/>
        <w:jc w:val="left"/>
        <w:rPr>
          <w:sz w:val="24"/>
        </w:rPr>
      </w:pPr>
      <w:r>
        <w:rPr>
          <w:color w:val="333333"/>
          <w:sz w:val="24"/>
        </w:rPr>
        <w:t>关于资金账簿的印花税</w:t>
      </w:r>
    </w:p>
    <w:p>
      <w:pPr>
        <w:pStyle w:val="3"/>
        <w:spacing w:before="182" w:line="338" w:lineRule="auto"/>
        <w:ind w:right="1677" w:firstLine="480"/>
        <w:rPr>
          <w:rFonts w:hint="eastAsia" w:ascii="微软雅黑" w:eastAsia="微软雅黑"/>
        </w:rPr>
      </w:pPr>
      <w:r>
        <w:rPr>
          <w:rFonts w:hint="eastAsia" w:ascii="微软雅黑" w:eastAsia="微软雅黑"/>
          <w:color w:val="333333"/>
        </w:rPr>
        <w:t>(1)实行公司制改造的企业在改制过程中成立的新企业</w:t>
      </w:r>
      <w:r>
        <w:rPr>
          <w:rFonts w:hint="eastAsia" w:ascii="微软雅黑" w:eastAsia="微软雅黑"/>
          <w:color w:val="333333"/>
          <w:spacing w:val="4"/>
        </w:rPr>
        <w:t>（</w:t>
      </w:r>
      <w:r>
        <w:rPr>
          <w:rFonts w:hint="eastAsia" w:ascii="微软雅黑" w:eastAsia="微软雅黑"/>
          <w:color w:val="333333"/>
        </w:rPr>
        <w:t>重新办理法人登记的</w:t>
      </w:r>
      <w:r>
        <w:rPr>
          <w:rFonts w:hint="eastAsia" w:ascii="微软雅黑" w:eastAsia="微软雅黑"/>
          <w:color w:val="333333"/>
          <w:spacing w:val="-107"/>
        </w:rPr>
        <w:t>）</w:t>
      </w:r>
      <w:r>
        <w:rPr>
          <w:rFonts w:hint="eastAsia" w:ascii="微软雅黑" w:eastAsia="微软雅黑"/>
          <w:color w:val="333333"/>
          <w:spacing w:val="-12"/>
        </w:rPr>
        <w:t xml:space="preserve">，其新启用的资金账簿记载的资金或因企业建立资本纽带关系而增加的资金， </w:t>
      </w:r>
      <w:r>
        <w:rPr>
          <w:rFonts w:hint="eastAsia" w:ascii="微软雅黑" w:eastAsia="微软雅黑"/>
          <w:color w:val="333333"/>
        </w:rPr>
        <w:t>凡原已贴花的部分可不再贴花，未贴花的部分和以后新增加的资金按规定贴花。</w:t>
      </w:r>
    </w:p>
    <w:p>
      <w:pPr>
        <w:pStyle w:val="8"/>
        <w:numPr>
          <w:ilvl w:val="0"/>
          <w:numId w:val="10"/>
        </w:numPr>
        <w:tabs>
          <w:tab w:val="left" w:pos="2903"/>
        </w:tabs>
        <w:spacing w:before="1" w:after="0" w:line="338" w:lineRule="auto"/>
        <w:ind w:left="1800" w:right="1705" w:firstLine="480"/>
        <w:jc w:val="left"/>
        <w:rPr>
          <w:sz w:val="24"/>
        </w:rPr>
      </w:pPr>
      <w:r>
        <w:rPr>
          <w:color w:val="333333"/>
          <w:sz w:val="24"/>
        </w:rPr>
        <w:t xml:space="preserve">以合并或分立方式成立的新企业，其新启用的资金账簿记载的资金， </w:t>
      </w:r>
      <w:r>
        <w:rPr>
          <w:color w:val="333333"/>
          <w:spacing w:val="-1"/>
          <w:sz w:val="24"/>
        </w:rPr>
        <w:t>凡原已贴花的部分可不再贴花，未贴花的部分和以后新增加的资金按规定贴花。</w:t>
      </w:r>
    </w:p>
    <w:p>
      <w:pPr>
        <w:pStyle w:val="8"/>
        <w:numPr>
          <w:ilvl w:val="0"/>
          <w:numId w:val="10"/>
        </w:numPr>
        <w:tabs>
          <w:tab w:val="left" w:pos="2901"/>
        </w:tabs>
        <w:spacing w:before="0" w:after="0" w:line="240" w:lineRule="auto"/>
        <w:ind w:left="2900" w:right="0" w:hanging="621"/>
        <w:jc w:val="left"/>
        <w:rPr>
          <w:sz w:val="24"/>
        </w:rPr>
      </w:pPr>
      <w:r>
        <w:rPr>
          <w:color w:val="333333"/>
          <w:sz w:val="24"/>
        </w:rPr>
        <w:t>企业债权转股权新增加的资金按规定贴花。</w:t>
      </w:r>
    </w:p>
    <w:p>
      <w:pPr>
        <w:pStyle w:val="8"/>
        <w:numPr>
          <w:ilvl w:val="0"/>
          <w:numId w:val="10"/>
        </w:numPr>
        <w:tabs>
          <w:tab w:val="left" w:pos="2901"/>
        </w:tabs>
        <w:spacing w:before="182" w:after="0" w:line="240" w:lineRule="auto"/>
        <w:ind w:left="2900" w:right="0" w:hanging="621"/>
        <w:jc w:val="left"/>
        <w:rPr>
          <w:sz w:val="24"/>
        </w:rPr>
      </w:pPr>
      <w:r>
        <w:rPr>
          <w:color w:val="333333"/>
          <w:sz w:val="24"/>
        </w:rPr>
        <w:t>企业改制中经评估增加的资金按规定贴花。</w:t>
      </w:r>
    </w:p>
    <w:p>
      <w:pPr>
        <w:pStyle w:val="8"/>
        <w:numPr>
          <w:ilvl w:val="0"/>
          <w:numId w:val="10"/>
        </w:numPr>
        <w:tabs>
          <w:tab w:val="left" w:pos="2903"/>
        </w:tabs>
        <w:spacing w:before="181" w:after="0" w:line="338" w:lineRule="auto"/>
        <w:ind w:left="1800" w:right="1797" w:firstLine="480"/>
        <w:jc w:val="left"/>
        <w:rPr>
          <w:sz w:val="24"/>
        </w:rPr>
      </w:pPr>
      <w:r>
        <w:rPr>
          <w:color w:val="333333"/>
          <w:spacing w:val="-1"/>
          <w:sz w:val="24"/>
        </w:rPr>
        <w:t>企业其他会计科目记载的资金转为实收资本或资本公积的资金按规定</w:t>
      </w:r>
      <w:r>
        <w:rPr>
          <w:color w:val="333333"/>
          <w:sz w:val="24"/>
        </w:rPr>
        <w:t>贴花。</w:t>
      </w:r>
    </w:p>
    <w:p>
      <w:pPr>
        <w:pStyle w:val="8"/>
        <w:numPr>
          <w:ilvl w:val="0"/>
          <w:numId w:val="9"/>
        </w:numPr>
        <w:tabs>
          <w:tab w:val="left" w:pos="2481"/>
        </w:tabs>
        <w:spacing w:before="1" w:after="0" w:line="240" w:lineRule="auto"/>
        <w:ind w:left="2480" w:right="0" w:hanging="201"/>
        <w:jc w:val="left"/>
        <w:rPr>
          <w:sz w:val="24"/>
        </w:rPr>
      </w:pPr>
      <w:r>
        <w:rPr>
          <w:color w:val="333333"/>
          <w:sz w:val="24"/>
        </w:rPr>
        <w:t>关于各类应税合同的印花税</w:t>
      </w:r>
    </w:p>
    <w:p>
      <w:pPr>
        <w:spacing w:after="0" w:line="240" w:lineRule="auto"/>
        <w:jc w:val="left"/>
        <w:rPr>
          <w:sz w:val="24"/>
        </w:rPr>
        <w:sectPr>
          <w:pgSz w:w="11910" w:h="16840"/>
          <w:pgMar w:top="1540" w:right="0" w:bottom="1380" w:left="0" w:header="965" w:footer="1182" w:gutter="0"/>
          <w:cols w:space="720" w:num="1"/>
        </w:sectPr>
      </w:pPr>
    </w:p>
    <w:p>
      <w:pPr>
        <w:pStyle w:val="3"/>
        <w:spacing w:before="11"/>
        <w:ind w:left="0"/>
        <w:rPr>
          <w:rFonts w:ascii="微软雅黑"/>
          <w:sz w:val="10"/>
        </w:rPr>
      </w:pPr>
    </w:p>
    <w:p>
      <w:pPr>
        <w:pStyle w:val="3"/>
        <w:spacing w:before="37" w:line="338" w:lineRule="auto"/>
        <w:ind w:right="1797" w:firstLine="480"/>
        <w:rPr>
          <w:rFonts w:hint="eastAsia" w:ascii="微软雅黑" w:eastAsia="微软雅黑"/>
        </w:rPr>
      </w:pPr>
      <w:r>
        <w:rPr>
          <w:rFonts w:hint="eastAsia" w:ascii="微软雅黑" w:eastAsia="微软雅黑"/>
          <w:color w:val="333333"/>
        </w:rPr>
        <w:t>企业改制前签订但尚未履行完的各类应税合同，改制后需要变更执行主体的，对仅改变执行主体、其余条款未作变动且改制前已贴花的，不再贴花。</w:t>
      </w:r>
    </w:p>
    <w:p>
      <w:pPr>
        <w:pStyle w:val="8"/>
        <w:numPr>
          <w:ilvl w:val="0"/>
          <w:numId w:val="9"/>
        </w:numPr>
        <w:tabs>
          <w:tab w:val="left" w:pos="2481"/>
        </w:tabs>
        <w:spacing w:before="0" w:after="0" w:line="240" w:lineRule="auto"/>
        <w:ind w:left="2480" w:right="0" w:hanging="201"/>
        <w:jc w:val="left"/>
        <w:rPr>
          <w:sz w:val="24"/>
        </w:rPr>
      </w:pPr>
      <w:r>
        <w:rPr>
          <w:color w:val="333333"/>
          <w:sz w:val="24"/>
        </w:rPr>
        <w:t>关于产权转移书据的印花税</w:t>
      </w:r>
    </w:p>
    <w:p>
      <w:pPr>
        <w:pStyle w:val="3"/>
        <w:spacing w:before="182"/>
        <w:ind w:left="2280"/>
        <w:rPr>
          <w:rFonts w:hint="eastAsia" w:ascii="微软雅黑" w:eastAsia="微软雅黑"/>
        </w:rPr>
      </w:pPr>
      <w:r>
        <w:rPr>
          <w:rFonts w:hint="eastAsia" w:ascii="微软雅黑" w:eastAsia="微软雅黑"/>
          <w:color w:val="333333"/>
        </w:rPr>
        <w:t>企业因改制签订的产权转移书据免予贴花。</w:t>
      </w:r>
    </w:p>
    <w:p>
      <w:pPr>
        <w:spacing w:before="182"/>
        <w:ind w:left="2280" w:right="0" w:firstLine="0"/>
        <w:jc w:val="left"/>
        <w:rPr>
          <w:rFonts w:hint="eastAsia" w:ascii="微软雅黑" w:eastAsia="微软雅黑"/>
          <w:b/>
          <w:sz w:val="24"/>
        </w:rPr>
      </w:pPr>
      <w:r>
        <w:rPr>
          <w:rFonts w:hint="eastAsia" w:ascii="微软雅黑" w:eastAsia="微软雅黑"/>
          <w:b/>
          <w:color w:val="333333"/>
          <w:sz w:val="24"/>
        </w:rPr>
        <w:t>【适用条件】</w:t>
      </w:r>
    </w:p>
    <w:p>
      <w:pPr>
        <w:pStyle w:val="3"/>
        <w:spacing w:before="181" w:line="338" w:lineRule="auto"/>
        <w:ind w:right="1797" w:firstLine="480"/>
        <w:jc w:val="both"/>
        <w:rPr>
          <w:rFonts w:hint="eastAsia" w:ascii="微软雅黑" w:eastAsia="微软雅黑"/>
        </w:rPr>
      </w:pPr>
      <w:r>
        <w:pict>
          <v:shape id="_x0000_s1038" o:spid="_x0000_s1038" o:spt="136" type="#_x0000_t136" style="position:absolute;left:0pt;margin-left:41.25pt;margin-top:126.15pt;height:132pt;width:528.05pt;mso-position-horizontal-relative:page;rotation:20643840f;z-index:-251643904;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eastAsia="微软雅黑"/>
          <w:color w:val="333333"/>
        </w:rPr>
        <w:t>1</w:t>
      </w:r>
      <w:r>
        <w:rPr>
          <w:rFonts w:hint="eastAsia" w:ascii="微软雅黑" w:eastAsia="微软雅黑"/>
          <w:color w:val="333333"/>
          <w:spacing w:val="-1"/>
        </w:rPr>
        <w:t>、改制企业的范围：国有企业依《公司法》整体改造成国有独资有限责任</w:t>
      </w:r>
      <w:r>
        <w:rPr>
          <w:rFonts w:hint="eastAsia" w:ascii="微软雅黑" w:eastAsia="微软雅黑"/>
          <w:color w:val="333333"/>
          <w:spacing w:val="-10"/>
        </w:rPr>
        <w:t>公司；企业通过增资扩股或者转让部分产权，实现他人对企业的参股，将企业改</w:t>
      </w:r>
      <w:r>
        <w:rPr>
          <w:rFonts w:hint="eastAsia" w:ascii="微软雅黑" w:eastAsia="微软雅黑"/>
          <w:color w:val="333333"/>
          <w:spacing w:val="-7"/>
        </w:rPr>
        <w:t>造成有限责任公司或股份有限公司；企业以其部分财产和相应债务与他人组建新</w:t>
      </w:r>
      <w:r>
        <w:rPr>
          <w:rFonts w:hint="eastAsia" w:ascii="微软雅黑" w:eastAsia="微软雅黑"/>
          <w:color w:val="333333"/>
        </w:rPr>
        <w:t>公司；企业将债务留在原企业，而以其优质财产与他人组建的新公司。</w:t>
      </w:r>
    </w:p>
    <w:p>
      <w:pPr>
        <w:pStyle w:val="3"/>
        <w:ind w:left="2280"/>
        <w:rPr>
          <w:rFonts w:hint="eastAsia" w:ascii="微软雅黑" w:eastAsia="微软雅黑"/>
        </w:rPr>
      </w:pPr>
      <w:r>
        <w:rPr>
          <w:rFonts w:hint="eastAsia" w:ascii="微软雅黑" w:eastAsia="微软雅黑"/>
          <w:color w:val="333333"/>
          <w:spacing w:val="-1"/>
        </w:rPr>
        <w:t>2、合并包括吸收合并和新设合并。</w:t>
      </w:r>
    </w:p>
    <w:p>
      <w:pPr>
        <w:pStyle w:val="3"/>
        <w:spacing w:before="182"/>
        <w:ind w:left="2280"/>
        <w:rPr>
          <w:rFonts w:hint="eastAsia" w:ascii="微软雅黑" w:eastAsia="微软雅黑"/>
        </w:rPr>
      </w:pPr>
      <w:r>
        <w:rPr>
          <w:rFonts w:hint="eastAsia" w:ascii="微软雅黑" w:eastAsia="微软雅黑"/>
          <w:color w:val="333333"/>
          <w:spacing w:val="-1"/>
        </w:rPr>
        <w:t>3、分立包括存续分立和新设分立。</w:t>
      </w:r>
    </w:p>
    <w:p>
      <w:pPr>
        <w:spacing w:before="181"/>
        <w:ind w:left="2280" w:right="0" w:firstLine="0"/>
        <w:jc w:val="left"/>
        <w:rPr>
          <w:rFonts w:hint="eastAsia" w:ascii="微软雅黑" w:eastAsia="微软雅黑"/>
          <w:b/>
          <w:sz w:val="24"/>
        </w:rPr>
      </w:pPr>
      <w:r>
        <w:rPr>
          <w:rFonts w:hint="eastAsia" w:ascii="微软雅黑" w:eastAsia="微软雅黑"/>
          <w:b/>
          <w:color w:val="333333"/>
          <w:sz w:val="24"/>
        </w:rPr>
        <w:t>【备案资料】</w:t>
      </w:r>
    </w:p>
    <w:p>
      <w:pPr>
        <w:pStyle w:val="3"/>
        <w:spacing w:before="182" w:line="338" w:lineRule="auto"/>
        <w:ind w:right="1705" w:firstLine="480"/>
        <w:jc w:val="both"/>
        <w:rPr>
          <w:rFonts w:hint="eastAsia" w:ascii="微软雅黑" w:eastAsia="微软雅黑"/>
        </w:rPr>
      </w:pPr>
      <w:r>
        <w:rPr>
          <w:rFonts w:hint="eastAsia" w:ascii="微软雅黑" w:eastAsia="微软雅黑"/>
          <w:color w:val="333333"/>
          <w:spacing w:val="-1"/>
        </w:rPr>
        <w:t xml:space="preserve">企业在提请享受上述印花税优惠政策时，应向主管税务机关提交相关资料， </w:t>
      </w:r>
      <w:r>
        <w:rPr>
          <w:rFonts w:hint="eastAsia" w:ascii="微软雅黑" w:eastAsia="微软雅黑"/>
          <w:color w:val="333333"/>
          <w:spacing w:val="-9"/>
        </w:rPr>
        <w:t>包括：《纳税人减免税备案登记表》；县级以上人民政府及企业主管部门改制批复文件原件及复印件。</w:t>
      </w:r>
    </w:p>
    <w:p>
      <w:pPr>
        <w:spacing w:before="1"/>
        <w:ind w:left="2280" w:right="0" w:firstLine="0"/>
        <w:jc w:val="left"/>
        <w:rPr>
          <w:rFonts w:hint="eastAsia" w:ascii="微软雅黑" w:eastAsia="微软雅黑"/>
          <w:b/>
          <w:sz w:val="24"/>
        </w:rPr>
      </w:pPr>
      <w:r>
        <w:rPr>
          <w:rFonts w:hint="eastAsia" w:ascii="微软雅黑" w:eastAsia="微软雅黑"/>
          <w:b/>
          <w:color w:val="333333"/>
          <w:sz w:val="24"/>
        </w:rPr>
        <w:t>【政策依据】</w:t>
      </w:r>
    </w:p>
    <w:p>
      <w:pPr>
        <w:pStyle w:val="3"/>
        <w:spacing w:before="181"/>
        <w:ind w:left="2280"/>
        <w:rPr>
          <w:rFonts w:hint="eastAsia" w:ascii="微软雅黑" w:eastAsia="微软雅黑"/>
        </w:rPr>
      </w:pPr>
      <w:r>
        <w:fldChar w:fldCharType="begin"/>
      </w:r>
      <w:r>
        <w:instrText xml:space="preserve"> HYPERLINK \l "_bookmark13" </w:instrText>
      </w:r>
      <w:r>
        <w:fldChar w:fldCharType="separate"/>
      </w:r>
      <w:r>
        <w:rPr>
          <w:rFonts w:hint="eastAsia" w:ascii="微软雅黑" w:eastAsia="微软雅黑"/>
          <w:color w:val="0000FF"/>
          <w:u w:val="single" w:color="0000FF"/>
        </w:rPr>
        <w:t>《财政部国家税务总局关于企业改制过程中有关印花税政策的通知</w:t>
      </w:r>
      <w:r>
        <w:rPr>
          <w:rFonts w:hint="eastAsia" w:ascii="微软雅黑" w:eastAsia="微软雅黑"/>
          <w:color w:val="0000FF"/>
          <w:u w:val="single" w:color="0000FF"/>
        </w:rPr>
        <w:fldChar w:fldCharType="end"/>
      </w:r>
      <w:r>
        <w:fldChar w:fldCharType="begin"/>
      </w:r>
      <w:r>
        <w:instrText xml:space="preserve"> HYPERLINK \l "_bookmark13" </w:instrText>
      </w:r>
      <w:r>
        <w:fldChar w:fldCharType="separate"/>
      </w:r>
      <w:r>
        <w:rPr>
          <w:rFonts w:hint="eastAsia" w:ascii="微软雅黑" w:eastAsia="微软雅黑"/>
          <w:color w:val="0000FF"/>
          <w:spacing w:val="-94"/>
          <w:u w:val="single" w:color="0000FF"/>
        </w:rPr>
        <w:t>》</w:t>
      </w:r>
      <w:r>
        <w:rPr>
          <w:rFonts w:hint="eastAsia" w:ascii="微软雅黑" w:eastAsia="微软雅黑"/>
          <w:color w:val="0000FF"/>
          <w:u w:val="single" w:color="0000FF"/>
        </w:rPr>
        <w:t>（财税</w:t>
      </w:r>
      <w:r>
        <w:rPr>
          <w:rFonts w:hint="eastAsia" w:ascii="微软雅黑" w:eastAsia="微软雅黑"/>
          <w:color w:val="0000FF"/>
          <w:u w:val="single" w:color="0000FF"/>
        </w:rPr>
        <w:fldChar w:fldCharType="end"/>
      </w:r>
    </w:p>
    <w:p>
      <w:pPr>
        <w:pStyle w:val="3"/>
        <w:spacing w:before="182"/>
        <w:rPr>
          <w:rFonts w:hint="eastAsia" w:ascii="微软雅黑" w:eastAsia="微软雅黑"/>
        </w:rPr>
      </w:pPr>
      <w:r>
        <w:rPr>
          <w:rFonts w:hint="eastAsia" w:ascii="微软雅黑" w:eastAsia="微软雅黑"/>
          <w:color w:val="0000FF"/>
          <w:u w:val="single" w:color="0000FF"/>
        </w:rPr>
        <w:t>〔2003〕183 号）</w:t>
      </w:r>
    </w:p>
    <w:p>
      <w:pPr>
        <w:pStyle w:val="3"/>
        <w:spacing w:before="0"/>
        <w:ind w:left="0"/>
        <w:rPr>
          <w:rFonts w:ascii="微软雅黑"/>
          <w:sz w:val="20"/>
        </w:rPr>
      </w:pPr>
    </w:p>
    <w:p>
      <w:pPr>
        <w:pStyle w:val="3"/>
        <w:spacing w:before="0"/>
        <w:ind w:left="0"/>
        <w:rPr>
          <w:rFonts w:ascii="微软雅黑"/>
          <w:sz w:val="20"/>
        </w:rPr>
      </w:pPr>
    </w:p>
    <w:p>
      <w:pPr>
        <w:pStyle w:val="3"/>
        <w:spacing w:before="0"/>
        <w:ind w:left="0"/>
        <w:rPr>
          <w:rFonts w:ascii="微软雅黑"/>
          <w:sz w:val="20"/>
        </w:rPr>
      </w:pPr>
    </w:p>
    <w:p>
      <w:pPr>
        <w:pStyle w:val="3"/>
        <w:spacing w:before="0"/>
        <w:ind w:left="0"/>
        <w:rPr>
          <w:rFonts w:ascii="微软雅黑"/>
          <w:sz w:val="12"/>
        </w:rPr>
      </w:pPr>
    </w:p>
    <w:p>
      <w:pPr>
        <w:pStyle w:val="2"/>
        <w:tabs>
          <w:tab w:val="left" w:pos="1199"/>
        </w:tabs>
        <w:spacing w:before="38"/>
        <w:ind w:left="0" w:right="1"/>
        <w:jc w:val="center"/>
      </w:pPr>
      <w:bookmarkStart w:id="10" w:name="第五部份  个人所得税"/>
      <w:bookmarkEnd w:id="10"/>
      <w:r>
        <w:t>第五部份</w:t>
      </w:r>
      <w:r>
        <w:tab/>
      </w:r>
      <w:bookmarkStart w:id="11" w:name="_bookmark4"/>
      <w:bookmarkEnd w:id="11"/>
      <w:r>
        <w:t>个人所得税</w:t>
      </w:r>
    </w:p>
    <w:p>
      <w:pPr>
        <w:spacing w:after="0"/>
        <w:jc w:val="center"/>
        <w:sectPr>
          <w:pgSz w:w="11910" w:h="16840"/>
          <w:pgMar w:top="1540" w:right="0" w:bottom="1380" w:left="0" w:header="965" w:footer="1182" w:gutter="0"/>
          <w:cols w:space="720" w:num="1"/>
        </w:sectPr>
      </w:pPr>
    </w:p>
    <w:p>
      <w:pPr>
        <w:pStyle w:val="3"/>
        <w:spacing w:before="11"/>
        <w:ind w:left="0"/>
        <w:rPr>
          <w:rFonts w:ascii="微软雅黑"/>
          <w:b/>
          <w:sz w:val="10"/>
        </w:rPr>
      </w:pPr>
    </w:p>
    <w:p>
      <w:pPr>
        <w:spacing w:before="37"/>
        <w:ind w:left="2280" w:right="0" w:firstLine="0"/>
        <w:jc w:val="left"/>
        <w:rPr>
          <w:rFonts w:hint="eastAsia" w:ascii="微软雅黑" w:eastAsia="微软雅黑"/>
          <w:b/>
          <w:sz w:val="24"/>
        </w:rPr>
      </w:pPr>
      <w:r>
        <w:rPr>
          <w:rFonts w:hint="eastAsia" w:ascii="微软雅黑" w:eastAsia="微软雅黑"/>
          <w:b/>
          <w:color w:val="333333"/>
          <w:sz w:val="24"/>
        </w:rPr>
        <w:t>【适用主体】</w:t>
      </w:r>
    </w:p>
    <w:p>
      <w:pPr>
        <w:pStyle w:val="3"/>
        <w:spacing w:before="182"/>
        <w:ind w:left="2280"/>
        <w:rPr>
          <w:rFonts w:hint="eastAsia" w:ascii="微软雅黑" w:eastAsia="微软雅黑"/>
        </w:rPr>
      </w:pPr>
      <w:r>
        <w:rPr>
          <w:rFonts w:hint="eastAsia" w:ascii="微软雅黑" w:eastAsia="微软雅黑"/>
          <w:color w:val="333333"/>
        </w:rPr>
        <w:t>非货币性资产投资个人</w:t>
      </w:r>
    </w:p>
    <w:p>
      <w:pPr>
        <w:spacing w:before="181"/>
        <w:ind w:left="2280" w:right="0" w:firstLine="0"/>
        <w:jc w:val="left"/>
        <w:rPr>
          <w:rFonts w:hint="eastAsia" w:ascii="微软雅黑" w:eastAsia="微软雅黑"/>
          <w:b/>
          <w:sz w:val="24"/>
        </w:rPr>
      </w:pPr>
      <w:r>
        <w:rPr>
          <w:rFonts w:hint="eastAsia" w:ascii="微软雅黑" w:eastAsia="微软雅黑"/>
          <w:b/>
          <w:color w:val="333333"/>
          <w:sz w:val="24"/>
        </w:rPr>
        <w:t>【政策内容】</w:t>
      </w:r>
    </w:p>
    <w:p>
      <w:pPr>
        <w:pStyle w:val="8"/>
        <w:numPr>
          <w:ilvl w:val="0"/>
          <w:numId w:val="11"/>
        </w:numPr>
        <w:tabs>
          <w:tab w:val="left" w:pos="2482"/>
        </w:tabs>
        <w:spacing w:before="182" w:after="0" w:line="338" w:lineRule="auto"/>
        <w:ind w:left="1800" w:right="1797" w:firstLine="480"/>
        <w:jc w:val="left"/>
        <w:rPr>
          <w:sz w:val="24"/>
        </w:rPr>
      </w:pPr>
      <w:r>
        <w:rPr>
          <w:color w:val="333333"/>
          <w:sz w:val="24"/>
        </w:rPr>
        <w:t>个人以非货币性资产投资，属于个人转让非货币性资产和投资同时发生, 应按照“财产转让所得”项目，依法计算缴纳个人所得税。</w:t>
      </w:r>
    </w:p>
    <w:p>
      <w:pPr>
        <w:pStyle w:val="8"/>
        <w:numPr>
          <w:ilvl w:val="0"/>
          <w:numId w:val="11"/>
        </w:numPr>
        <w:tabs>
          <w:tab w:val="left" w:pos="2481"/>
        </w:tabs>
        <w:spacing w:before="0" w:after="0" w:line="338" w:lineRule="auto"/>
        <w:ind w:left="1800" w:right="1675" w:firstLine="480"/>
        <w:jc w:val="left"/>
        <w:rPr>
          <w:sz w:val="24"/>
        </w:rPr>
      </w:pPr>
      <w:r>
        <w:pict>
          <v:shape id="_x0000_s1039" o:spid="_x0000_s1039" o:spt="136" type="#_x0000_t136" style="position:absolute;left:0pt;margin-left:41.25pt;margin-top:117.1pt;height:132pt;width:528.05pt;mso-position-horizontal-relative:page;rotation:20643840f;z-index:-251642880;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color w:val="333333"/>
          <w:spacing w:val="-5"/>
          <w:sz w:val="24"/>
        </w:rPr>
        <w:t>个人以非货币性资产投资，应按评估后的公允价值确认非货币性资产转让</w:t>
      </w:r>
      <w:r>
        <w:rPr>
          <w:color w:val="333333"/>
          <w:spacing w:val="-11"/>
          <w:sz w:val="24"/>
        </w:rPr>
        <w:t>收入。非货币性资产转让收入减除该资产原值及合理税费后的余额为应纳税所得</w:t>
      </w:r>
      <w:r>
        <w:rPr>
          <w:color w:val="333333"/>
          <w:spacing w:val="-17"/>
          <w:sz w:val="24"/>
        </w:rPr>
        <w:t xml:space="preserve">额。个人以非货币性资产投资，应于非货币性资产转让、取得被投资企业股权时， </w:t>
      </w:r>
      <w:r>
        <w:rPr>
          <w:color w:val="333333"/>
          <w:sz w:val="24"/>
        </w:rPr>
        <w:t>确认非货币性资产转让收入的实现。</w:t>
      </w:r>
    </w:p>
    <w:p>
      <w:pPr>
        <w:pStyle w:val="8"/>
        <w:numPr>
          <w:ilvl w:val="0"/>
          <w:numId w:val="11"/>
        </w:numPr>
        <w:tabs>
          <w:tab w:val="left" w:pos="2481"/>
        </w:tabs>
        <w:spacing w:before="1" w:after="0" w:line="338" w:lineRule="auto"/>
        <w:ind w:left="1800" w:right="1795" w:firstLine="480"/>
        <w:jc w:val="left"/>
        <w:rPr>
          <w:sz w:val="24"/>
        </w:rPr>
      </w:pPr>
      <w:r>
        <w:rPr>
          <w:color w:val="333333"/>
          <w:sz w:val="24"/>
        </w:rPr>
        <w:t>个人应在发生上述应税行为的次月 15 日内向主管税务机关申报纳税。 纳税人一次性缴税有困难的，可合理确定分期缴纳计划并报主管税务机关备案</w:t>
      </w:r>
      <w:r>
        <w:rPr>
          <w:color w:val="333333"/>
          <w:spacing w:val="-8"/>
          <w:sz w:val="24"/>
        </w:rPr>
        <w:t xml:space="preserve">后，自发生上述应税行为之日起不超过 </w:t>
      </w:r>
      <w:r>
        <w:rPr>
          <w:color w:val="333333"/>
          <w:sz w:val="24"/>
        </w:rPr>
        <w:t>5</w:t>
      </w:r>
      <w:r>
        <w:rPr>
          <w:color w:val="333333"/>
          <w:spacing w:val="-9"/>
          <w:sz w:val="24"/>
        </w:rPr>
        <w:t xml:space="preserve"> 个公历年度内</w:t>
      </w:r>
      <w:r>
        <w:rPr>
          <w:color w:val="333333"/>
          <w:sz w:val="24"/>
        </w:rPr>
        <w:t>（含</w:t>
      </w:r>
      <w:r>
        <w:rPr>
          <w:color w:val="333333"/>
          <w:spacing w:val="-36"/>
          <w:sz w:val="24"/>
        </w:rPr>
        <w:t>）</w:t>
      </w:r>
      <w:r>
        <w:rPr>
          <w:color w:val="333333"/>
          <w:spacing w:val="-2"/>
          <w:sz w:val="24"/>
        </w:rPr>
        <w:t>分期缴纳个人所得</w:t>
      </w:r>
      <w:r>
        <w:rPr>
          <w:color w:val="333333"/>
          <w:sz w:val="24"/>
        </w:rPr>
        <w:t>税。</w:t>
      </w:r>
    </w:p>
    <w:p>
      <w:pPr>
        <w:pStyle w:val="8"/>
        <w:numPr>
          <w:ilvl w:val="0"/>
          <w:numId w:val="11"/>
        </w:numPr>
        <w:tabs>
          <w:tab w:val="left" w:pos="2481"/>
        </w:tabs>
        <w:spacing w:before="1" w:after="0" w:line="338" w:lineRule="auto"/>
        <w:ind w:left="1800" w:right="1797" w:firstLine="480"/>
        <w:jc w:val="both"/>
        <w:rPr>
          <w:sz w:val="24"/>
        </w:rPr>
      </w:pPr>
      <w:r>
        <w:rPr>
          <w:color w:val="333333"/>
          <w:spacing w:val="-4"/>
          <w:sz w:val="24"/>
        </w:rPr>
        <w:t>个人以非货币性资产投资交易过程中取得现金补价的，现金部分应优先用</w:t>
      </w:r>
      <w:r>
        <w:rPr>
          <w:color w:val="333333"/>
          <w:spacing w:val="-11"/>
          <w:sz w:val="24"/>
        </w:rPr>
        <w:t>于缴税；现金不足以缴纳的部分，可分期缴纳。个人在分期缴税期间转让其持有</w:t>
      </w:r>
      <w:r>
        <w:rPr>
          <w:color w:val="333333"/>
          <w:spacing w:val="-9"/>
          <w:sz w:val="24"/>
        </w:rPr>
        <w:t>的上述全部或部分股权，并取得现金收入的，该现金收入应优先用于缴纳尚未缴</w:t>
      </w:r>
      <w:r>
        <w:rPr>
          <w:color w:val="333333"/>
          <w:sz w:val="24"/>
        </w:rPr>
        <w:t>清的税款。</w:t>
      </w:r>
    </w:p>
    <w:p>
      <w:pPr>
        <w:pStyle w:val="8"/>
        <w:numPr>
          <w:ilvl w:val="0"/>
          <w:numId w:val="11"/>
        </w:numPr>
        <w:tabs>
          <w:tab w:val="left" w:pos="2481"/>
        </w:tabs>
        <w:spacing w:before="1" w:after="0" w:line="338" w:lineRule="auto"/>
        <w:ind w:left="1800" w:right="1677" w:firstLine="480"/>
        <w:jc w:val="left"/>
        <w:rPr>
          <w:sz w:val="24"/>
        </w:rPr>
      </w:pPr>
      <w:r>
        <w:rPr>
          <w:color w:val="333333"/>
          <w:spacing w:val="-15"/>
          <w:sz w:val="24"/>
        </w:rPr>
        <w:t>非货币性资产，是指现金、银行存款等货币性资产以外的资产，包括股权、</w:t>
      </w:r>
      <w:r>
        <w:rPr>
          <w:color w:val="333333"/>
          <w:sz w:val="24"/>
        </w:rPr>
        <w:t>不动产、技术发明成果以及其他形式的非货币性资产。</w:t>
      </w:r>
    </w:p>
    <w:p>
      <w:pPr>
        <w:pStyle w:val="3"/>
        <w:spacing w:before="0"/>
        <w:ind w:left="0"/>
        <w:rPr>
          <w:rFonts w:ascii="微软雅黑"/>
          <w:sz w:val="32"/>
        </w:rPr>
      </w:pPr>
    </w:p>
    <w:p>
      <w:pPr>
        <w:pStyle w:val="3"/>
        <w:spacing w:before="13"/>
        <w:ind w:left="0"/>
        <w:rPr>
          <w:rFonts w:ascii="微软雅黑"/>
          <w:sz w:val="35"/>
        </w:rPr>
      </w:pPr>
    </w:p>
    <w:p>
      <w:pPr>
        <w:spacing w:before="1"/>
        <w:ind w:left="2280" w:right="0" w:firstLine="0"/>
        <w:jc w:val="left"/>
        <w:rPr>
          <w:rFonts w:hint="eastAsia" w:ascii="微软雅黑" w:eastAsia="微软雅黑"/>
          <w:b/>
          <w:sz w:val="24"/>
        </w:rPr>
      </w:pPr>
      <w:r>
        <w:rPr>
          <w:rFonts w:hint="eastAsia" w:ascii="微软雅黑" w:eastAsia="微软雅黑"/>
          <w:b/>
          <w:color w:val="333333"/>
          <w:sz w:val="24"/>
        </w:rPr>
        <w:t>【适用条件】</w:t>
      </w:r>
    </w:p>
    <w:p>
      <w:pPr>
        <w:spacing w:after="0"/>
        <w:jc w:val="left"/>
        <w:rPr>
          <w:rFonts w:hint="eastAsia" w:ascii="微软雅黑" w:eastAsia="微软雅黑"/>
          <w:sz w:val="24"/>
        </w:rPr>
        <w:sectPr>
          <w:footerReference r:id="rId7" w:type="default"/>
          <w:pgSz w:w="11910" w:h="16840"/>
          <w:pgMar w:top="1540" w:right="0" w:bottom="1380" w:left="0" w:header="965" w:footer="1182" w:gutter="0"/>
          <w:pgNumType w:start="10"/>
          <w:cols w:space="720" w:num="1"/>
        </w:sectPr>
      </w:pPr>
    </w:p>
    <w:p>
      <w:pPr>
        <w:pStyle w:val="3"/>
        <w:spacing w:before="11"/>
        <w:ind w:left="0"/>
        <w:rPr>
          <w:rFonts w:ascii="微软雅黑"/>
          <w:b/>
          <w:sz w:val="10"/>
        </w:rPr>
      </w:pPr>
    </w:p>
    <w:p>
      <w:pPr>
        <w:pStyle w:val="3"/>
        <w:spacing w:before="37" w:line="338" w:lineRule="auto"/>
        <w:ind w:right="1801" w:firstLine="480"/>
        <w:jc w:val="both"/>
        <w:rPr>
          <w:rFonts w:hint="eastAsia" w:ascii="微软雅黑" w:hAnsi="微软雅黑" w:eastAsia="微软雅黑"/>
        </w:rPr>
      </w:pPr>
      <w:r>
        <w:rPr>
          <w:rFonts w:hint="eastAsia" w:ascii="微软雅黑" w:hAnsi="微软雅黑" w:eastAsia="微软雅黑"/>
          <w:color w:val="333333"/>
        </w:rPr>
        <w:t>41</w:t>
      </w:r>
      <w:r>
        <w:rPr>
          <w:rFonts w:hint="eastAsia" w:ascii="微软雅黑" w:hAnsi="微软雅黑" w:eastAsia="微软雅黑"/>
          <w:color w:val="333333"/>
          <w:spacing w:val="-4"/>
        </w:rPr>
        <w:t xml:space="preserve"> 号文第五条规定：“本通知所称非货币性资产，是指现金、银行存款等</w:t>
      </w:r>
      <w:r>
        <w:rPr>
          <w:rFonts w:hint="eastAsia" w:ascii="微软雅黑" w:hAnsi="微软雅黑" w:eastAsia="微软雅黑"/>
          <w:color w:val="333333"/>
          <w:spacing w:val="-12"/>
        </w:rPr>
        <w:t>货币性资产以外的资产，包括股权、不动产、技术发明成果以及其他形式的非货</w:t>
      </w:r>
      <w:r>
        <w:rPr>
          <w:rFonts w:hint="eastAsia" w:ascii="微软雅黑" w:hAnsi="微软雅黑" w:eastAsia="微软雅黑"/>
          <w:color w:val="333333"/>
        </w:rPr>
        <w:t>币性资产。</w:t>
      </w:r>
    </w:p>
    <w:p>
      <w:pPr>
        <w:pStyle w:val="3"/>
        <w:spacing w:line="338" w:lineRule="auto"/>
        <w:ind w:right="1677" w:firstLine="480"/>
        <w:rPr>
          <w:rFonts w:hint="eastAsia" w:ascii="微软雅黑" w:eastAsia="微软雅黑"/>
        </w:rPr>
      </w:pPr>
      <w:r>
        <w:rPr>
          <w:rFonts w:hint="eastAsia" w:ascii="微软雅黑" w:eastAsia="微软雅黑"/>
          <w:color w:val="333333"/>
          <w:spacing w:val="-8"/>
        </w:rPr>
        <w:t>非货币性资产投资，包括以非货币性资产出资设立新的企业，以及以非货币</w:t>
      </w:r>
      <w:r>
        <w:rPr>
          <w:rFonts w:hint="eastAsia" w:ascii="微软雅黑" w:eastAsia="微软雅黑"/>
          <w:color w:val="333333"/>
          <w:spacing w:val="-19"/>
        </w:rPr>
        <w:t>性资产出资参与企业增资扩股、定向增发股票、股权置换、重组改制等投资行为。</w:t>
      </w:r>
    </w:p>
    <w:p>
      <w:pPr>
        <w:spacing w:before="0"/>
        <w:ind w:left="2280" w:right="0" w:firstLine="0"/>
        <w:jc w:val="left"/>
        <w:rPr>
          <w:rFonts w:hint="eastAsia" w:ascii="微软雅黑" w:eastAsia="微软雅黑"/>
          <w:b/>
          <w:sz w:val="24"/>
        </w:rPr>
      </w:pPr>
      <w:r>
        <w:rPr>
          <w:rFonts w:hint="eastAsia" w:ascii="微软雅黑" w:eastAsia="微软雅黑"/>
          <w:b/>
          <w:color w:val="333333"/>
          <w:sz w:val="24"/>
        </w:rPr>
        <w:t>【备案资料】</w:t>
      </w:r>
    </w:p>
    <w:p>
      <w:pPr>
        <w:pStyle w:val="3"/>
        <w:spacing w:before="182" w:line="338" w:lineRule="auto"/>
        <w:ind w:right="1797" w:firstLine="480"/>
        <w:jc w:val="both"/>
        <w:rPr>
          <w:rFonts w:hint="eastAsia" w:ascii="微软雅黑" w:eastAsia="微软雅黑"/>
        </w:rPr>
      </w:pPr>
      <w:r>
        <w:pict>
          <v:shape id="_x0000_s1040" o:spid="_x0000_s1040" o:spt="136" type="#_x0000_t136" style="position:absolute;left:0pt;margin-left:41.25pt;margin-top:95pt;height:132pt;width:528.05pt;mso-position-horizontal-relative:page;rotation:20643840f;z-index:-251639808;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eastAsia="微软雅黑"/>
          <w:color w:val="333333"/>
          <w:spacing w:val="-5"/>
        </w:rPr>
        <w:t>纳税人非货币性资产投资需要分期缴纳个人所得税的，应于取得被投资企业</w:t>
      </w:r>
      <w:r>
        <w:rPr>
          <w:rFonts w:hint="eastAsia" w:ascii="微软雅黑" w:eastAsia="微软雅黑"/>
          <w:color w:val="333333"/>
          <w:spacing w:val="-2"/>
        </w:rPr>
        <w:t xml:space="preserve">股权之日的次月 </w:t>
      </w:r>
      <w:r>
        <w:rPr>
          <w:rFonts w:hint="eastAsia" w:ascii="微软雅黑" w:eastAsia="微软雅黑"/>
          <w:color w:val="333333"/>
        </w:rPr>
        <w:t>15</w:t>
      </w:r>
      <w:r>
        <w:rPr>
          <w:rFonts w:hint="eastAsia" w:ascii="微软雅黑" w:eastAsia="微软雅黑"/>
          <w:color w:val="333333"/>
          <w:spacing w:val="-6"/>
        </w:rPr>
        <w:t xml:space="preserve"> 日内，自行制定缴税计划并向主管税务机关报送《非货币性</w:t>
      </w:r>
      <w:r>
        <w:rPr>
          <w:rFonts w:hint="eastAsia" w:ascii="微软雅黑" w:eastAsia="微软雅黑"/>
          <w:color w:val="333333"/>
          <w:spacing w:val="-7"/>
        </w:rPr>
        <w:t>资产投资分期缴纳个人所得税备案表》、纳税人身份证明、投资协议、非货币性</w:t>
      </w:r>
      <w:r>
        <w:rPr>
          <w:rFonts w:hint="eastAsia" w:ascii="微软雅黑" w:eastAsia="微软雅黑"/>
          <w:color w:val="333333"/>
        </w:rPr>
        <w:t>资产评估价格证明材料、能够证明非货币性资产原值及合理税费的相关资料。</w:t>
      </w:r>
    </w:p>
    <w:p>
      <w:pPr>
        <w:spacing w:before="1"/>
        <w:ind w:left="2280" w:right="0" w:firstLine="0"/>
        <w:jc w:val="left"/>
        <w:rPr>
          <w:rFonts w:hint="eastAsia" w:ascii="微软雅黑" w:eastAsia="微软雅黑"/>
          <w:b/>
          <w:sz w:val="24"/>
        </w:rPr>
      </w:pPr>
      <w:r>
        <w:rPr>
          <w:rFonts w:hint="eastAsia" w:ascii="微软雅黑" w:eastAsia="微软雅黑"/>
          <w:b/>
          <w:color w:val="333333"/>
          <w:sz w:val="24"/>
        </w:rPr>
        <w:t>【政策依据】</w:t>
      </w:r>
    </w:p>
    <w:p>
      <w:pPr>
        <w:pStyle w:val="8"/>
        <w:numPr>
          <w:ilvl w:val="0"/>
          <w:numId w:val="12"/>
        </w:numPr>
        <w:tabs>
          <w:tab w:val="left" w:pos="2496"/>
        </w:tabs>
        <w:spacing w:before="181" w:after="0" w:line="338" w:lineRule="auto"/>
        <w:ind w:left="1800" w:right="1670" w:firstLine="480"/>
        <w:jc w:val="left"/>
        <w:rPr>
          <w:sz w:val="24"/>
        </w:rPr>
      </w:pPr>
      <w:r>
        <w:pict>
          <v:line id="_x0000_s1041" o:spid="_x0000_s1041" o:spt="20" style="position:absolute;left:0pt;margin-left:90pt;margin-top:58.35pt;height:0pt;width:41pt;mso-position-horizontal-relative:page;z-index:-251641856;mso-width-relative:page;mso-height-relative:page;" stroked="t" coordsize="21600,21600">
            <v:path arrowok="t"/>
            <v:fill focussize="0,0"/>
            <v:stroke weight="0.6pt" color="#0000FF"/>
            <v:imagedata o:title=""/>
            <o:lock v:ext="edit"/>
          </v:line>
        </w:pict>
      </w:r>
      <w:r>
        <w:rPr>
          <w:color w:val="0000FF"/>
          <w:spacing w:val="-3"/>
          <w:sz w:val="24"/>
        </w:rPr>
        <w:t>《</w:t>
      </w:r>
      <w:r>
        <w:fldChar w:fldCharType="begin"/>
      </w:r>
      <w:r>
        <w:instrText xml:space="preserve"> HYPERLINK \l "_bookmark14" </w:instrText>
      </w:r>
      <w:r>
        <w:fldChar w:fldCharType="separate"/>
      </w:r>
      <w:r>
        <w:rPr>
          <w:color w:val="0000FF"/>
          <w:sz w:val="24"/>
          <w:u w:val="single" w:color="0000FF"/>
        </w:rPr>
        <w:t>关于个人非</w:t>
      </w:r>
      <w:r>
        <w:rPr>
          <w:color w:val="0000FF"/>
          <w:sz w:val="24"/>
          <w:u w:val="single" w:color="0000FF"/>
        </w:rPr>
        <w:fldChar w:fldCharType="end"/>
      </w:r>
      <w:r>
        <w:fldChar w:fldCharType="begin"/>
      </w:r>
      <w:r>
        <w:instrText xml:space="preserve"> HYPERLINK \l "_bookmark14" </w:instrText>
      </w:r>
      <w:r>
        <w:fldChar w:fldCharType="separate"/>
      </w:r>
      <w:r>
        <w:rPr>
          <w:color w:val="0000FF"/>
          <w:sz w:val="24"/>
          <w:u w:val="single" w:color="0000FF"/>
        </w:rPr>
        <w:t>货币性资产投资有关个人所得税政策的通知</w:t>
      </w:r>
      <w:r>
        <w:rPr>
          <w:color w:val="0000FF"/>
          <w:spacing w:val="-178"/>
          <w:sz w:val="24"/>
          <w:u w:val="single" w:color="0000FF"/>
        </w:rPr>
        <w:t>》</w:t>
      </w:r>
      <w:r>
        <w:rPr>
          <w:color w:val="0000FF"/>
          <w:sz w:val="24"/>
          <w:u w:val="single" w:color="0000FF"/>
        </w:rPr>
        <w:t>（</w:t>
      </w:r>
      <w:r>
        <w:rPr>
          <w:color w:val="0000FF"/>
          <w:spacing w:val="-31"/>
          <w:sz w:val="24"/>
          <w:u w:val="single" w:color="0000FF"/>
        </w:rPr>
        <w:t>财税〔</w:t>
      </w:r>
      <w:r>
        <w:rPr>
          <w:color w:val="0000FF"/>
          <w:sz w:val="24"/>
          <w:u w:val="single" w:color="0000FF"/>
        </w:rPr>
        <w:t>2015</w:t>
      </w:r>
      <w:r>
        <w:rPr>
          <w:color w:val="0000FF"/>
          <w:sz w:val="24"/>
          <w:u w:val="single" w:color="0000FF"/>
        </w:rPr>
        <w:fldChar w:fldCharType="end"/>
      </w:r>
      <w:r>
        <w:rPr>
          <w:color w:val="0000FF"/>
          <w:spacing w:val="-11"/>
          <w:sz w:val="24"/>
          <w:u w:val="single" w:color="0000FF"/>
        </w:rPr>
        <w:t>〕</w:t>
      </w:r>
      <w:r>
        <w:rPr>
          <w:color w:val="0000FF"/>
          <w:sz w:val="24"/>
        </w:rPr>
        <w:t>41</w:t>
      </w:r>
      <w:r>
        <w:rPr>
          <w:color w:val="0000FF"/>
          <w:spacing w:val="-7"/>
          <w:sz w:val="24"/>
        </w:rPr>
        <w:t xml:space="preserve"> 号</w:t>
      </w:r>
      <w:r>
        <w:rPr>
          <w:color w:val="0000FF"/>
          <w:sz w:val="24"/>
        </w:rPr>
        <w:t>）</w:t>
      </w:r>
    </w:p>
    <w:p>
      <w:pPr>
        <w:pStyle w:val="8"/>
        <w:numPr>
          <w:ilvl w:val="0"/>
          <w:numId w:val="12"/>
        </w:numPr>
        <w:tabs>
          <w:tab w:val="left" w:pos="2600"/>
        </w:tabs>
        <w:spacing w:before="1" w:after="0" w:line="338" w:lineRule="auto"/>
        <w:ind w:left="1800" w:right="1797" w:firstLine="480"/>
        <w:jc w:val="left"/>
        <w:rPr>
          <w:sz w:val="24"/>
        </w:rPr>
      </w:pPr>
      <w:r>
        <w:pict>
          <v:line id="_x0000_s1042" o:spid="_x0000_s1042" o:spt="20" style="position:absolute;left:0pt;margin-left:129.9pt;margin-top:18.15pt;height:0pt;width:375.35pt;mso-position-horizontal-relative:page;z-index:-251640832;mso-width-relative:page;mso-height-relative:page;" stroked="t" coordsize="21600,21600">
            <v:path arrowok="t"/>
            <v:fill focussize="0,0"/>
            <v:stroke weight="0.6pt" color="#0000FF"/>
            <v:imagedata o:title=""/>
            <o:lock v:ext="edit"/>
          </v:line>
        </w:pict>
      </w:r>
      <w:r>
        <w:fldChar w:fldCharType="begin"/>
      </w:r>
      <w:r>
        <w:instrText xml:space="preserve"> HYPERLINK \l "_bookmark15" </w:instrText>
      </w:r>
      <w:r>
        <w:fldChar w:fldCharType="separate"/>
      </w:r>
      <w:r>
        <w:rPr>
          <w:color w:val="0000FF"/>
          <w:sz w:val="24"/>
        </w:rPr>
        <w:t>《</w:t>
      </w:r>
      <w:r>
        <w:rPr>
          <w:color w:val="0000FF"/>
          <w:sz w:val="24"/>
        </w:rPr>
        <w:fldChar w:fldCharType="end"/>
      </w:r>
      <w:r>
        <w:fldChar w:fldCharType="begin"/>
      </w:r>
      <w:r>
        <w:instrText xml:space="preserve"> HYPERLINK \l "_bookmark15" </w:instrText>
      </w:r>
      <w:r>
        <w:fldChar w:fldCharType="separate"/>
      </w:r>
      <w:r>
        <w:rPr>
          <w:color w:val="0000FF"/>
          <w:sz w:val="24"/>
        </w:rPr>
        <w:t>国家税务总局关于个人非货币性资产投资有关个人所得税征管问题的</w:t>
      </w:r>
      <w:r>
        <w:rPr>
          <w:color w:val="0000FF"/>
          <w:sz w:val="24"/>
        </w:rPr>
        <w:fldChar w:fldCharType="end"/>
      </w:r>
      <w:r>
        <w:rPr>
          <w:color w:val="0000FF"/>
          <w:sz w:val="24"/>
          <w:u w:val="single" w:color="0000FF"/>
        </w:rPr>
        <w:t>公告》（</w:t>
      </w:r>
      <w:r>
        <w:rPr>
          <w:color w:val="0000FF"/>
          <w:spacing w:val="-2"/>
          <w:sz w:val="24"/>
          <w:u w:val="single" w:color="0000FF"/>
        </w:rPr>
        <w:t xml:space="preserve">国家税务总局公告 </w:t>
      </w:r>
      <w:r>
        <w:rPr>
          <w:color w:val="0000FF"/>
          <w:sz w:val="24"/>
          <w:u w:val="single" w:color="0000FF"/>
        </w:rPr>
        <w:t>2015</w:t>
      </w:r>
      <w:r>
        <w:rPr>
          <w:color w:val="0000FF"/>
          <w:spacing w:val="-7"/>
          <w:sz w:val="24"/>
          <w:u w:val="single" w:color="0000FF"/>
        </w:rPr>
        <w:t xml:space="preserve"> 年第 </w:t>
      </w:r>
      <w:r>
        <w:rPr>
          <w:color w:val="0000FF"/>
          <w:sz w:val="24"/>
          <w:u w:val="single" w:color="0000FF"/>
        </w:rPr>
        <w:t>20</w:t>
      </w:r>
      <w:r>
        <w:rPr>
          <w:color w:val="0000FF"/>
          <w:spacing w:val="-6"/>
          <w:sz w:val="24"/>
          <w:u w:val="single" w:color="0000FF"/>
        </w:rPr>
        <w:t xml:space="preserve"> 号</w:t>
      </w:r>
      <w:r>
        <w:rPr>
          <w:color w:val="0000FF"/>
          <w:sz w:val="24"/>
          <w:u w:val="single" w:color="0000FF"/>
        </w:rPr>
        <w:t>）</w:t>
      </w:r>
    </w:p>
    <w:p>
      <w:pPr>
        <w:pStyle w:val="3"/>
        <w:spacing w:before="4"/>
        <w:ind w:left="0"/>
        <w:rPr>
          <w:rFonts w:ascii="微软雅黑"/>
          <w:sz w:val="13"/>
        </w:rPr>
      </w:pPr>
    </w:p>
    <w:p>
      <w:pPr>
        <w:pStyle w:val="2"/>
        <w:tabs>
          <w:tab w:val="left" w:pos="1319"/>
        </w:tabs>
        <w:spacing w:before="37"/>
        <w:ind w:left="0" w:right="1"/>
        <w:jc w:val="center"/>
      </w:pPr>
      <w:bookmarkStart w:id="12" w:name="第六部份   企业所得税"/>
      <w:bookmarkEnd w:id="12"/>
      <w:r>
        <w:t>第六部份</w:t>
      </w:r>
      <w:r>
        <w:tab/>
      </w:r>
      <w:r>
        <w:t>企业所得税</w:t>
      </w:r>
    </w:p>
    <w:p>
      <w:pPr>
        <w:pStyle w:val="3"/>
        <w:spacing w:before="18"/>
        <w:ind w:left="0"/>
        <w:rPr>
          <w:rFonts w:ascii="微软雅黑"/>
          <w:b/>
          <w:sz w:val="22"/>
        </w:rPr>
      </w:pPr>
    </w:p>
    <w:p>
      <w:pPr>
        <w:spacing w:before="37"/>
        <w:ind w:left="2280" w:right="0" w:firstLine="0"/>
        <w:jc w:val="left"/>
        <w:outlineLvl w:val="1"/>
        <w:rPr>
          <w:rFonts w:hint="eastAsia" w:ascii="微软雅黑" w:eastAsia="微软雅黑"/>
          <w:b/>
          <w:sz w:val="24"/>
        </w:rPr>
      </w:pPr>
      <w:r>
        <w:rPr>
          <w:rFonts w:hint="eastAsia" w:ascii="微软雅黑" w:eastAsia="微软雅黑"/>
          <w:b/>
          <w:color w:val="333333"/>
          <w:sz w:val="24"/>
        </w:rPr>
        <w:t>（一）法律形式改变</w:t>
      </w:r>
    </w:p>
    <w:p>
      <w:pPr>
        <w:spacing w:before="182"/>
        <w:ind w:left="2280" w:right="0" w:firstLine="0"/>
        <w:jc w:val="left"/>
        <w:rPr>
          <w:rFonts w:hint="eastAsia" w:ascii="微软雅黑" w:eastAsia="微软雅黑"/>
          <w:b/>
          <w:sz w:val="24"/>
        </w:rPr>
      </w:pPr>
      <w:r>
        <w:rPr>
          <w:rFonts w:hint="eastAsia" w:ascii="微软雅黑" w:eastAsia="微软雅黑"/>
          <w:b/>
          <w:color w:val="333333"/>
          <w:sz w:val="24"/>
        </w:rPr>
        <w:t>【适用主体】</w:t>
      </w:r>
    </w:p>
    <w:p>
      <w:pPr>
        <w:pStyle w:val="3"/>
        <w:spacing w:before="181"/>
        <w:ind w:left="2280"/>
        <w:rPr>
          <w:rFonts w:hint="eastAsia" w:ascii="微软雅黑" w:eastAsia="微软雅黑"/>
        </w:rPr>
      </w:pPr>
      <w:r>
        <w:rPr>
          <w:rFonts w:hint="eastAsia" w:ascii="微软雅黑" w:eastAsia="微软雅黑"/>
          <w:color w:val="333333"/>
        </w:rPr>
        <w:t>所有企业所得税纳税人</w:t>
      </w:r>
    </w:p>
    <w:p>
      <w:pPr>
        <w:spacing w:before="182"/>
        <w:ind w:left="2280" w:right="0" w:firstLine="0"/>
        <w:jc w:val="left"/>
        <w:rPr>
          <w:rFonts w:hint="eastAsia" w:ascii="微软雅黑" w:eastAsia="微软雅黑"/>
          <w:b/>
          <w:sz w:val="24"/>
        </w:rPr>
      </w:pPr>
      <w:r>
        <w:rPr>
          <w:rFonts w:hint="eastAsia" w:ascii="微软雅黑" w:eastAsia="微软雅黑"/>
          <w:b/>
          <w:color w:val="333333"/>
          <w:sz w:val="24"/>
        </w:rPr>
        <w:t>【政策内容】</w:t>
      </w:r>
    </w:p>
    <w:p>
      <w:pPr>
        <w:spacing w:after="0"/>
        <w:jc w:val="left"/>
        <w:rPr>
          <w:rFonts w:hint="eastAsia" w:ascii="微软雅黑" w:eastAsia="微软雅黑"/>
          <w:sz w:val="24"/>
        </w:rPr>
        <w:sectPr>
          <w:pgSz w:w="11910" w:h="16840"/>
          <w:pgMar w:top="1540" w:right="0" w:bottom="1380" w:left="0" w:header="965" w:footer="1182" w:gutter="0"/>
          <w:cols w:space="720" w:num="1"/>
        </w:sectPr>
      </w:pPr>
    </w:p>
    <w:p>
      <w:pPr>
        <w:pStyle w:val="3"/>
        <w:spacing w:before="11"/>
        <w:ind w:left="0"/>
        <w:rPr>
          <w:rFonts w:ascii="微软雅黑"/>
          <w:b/>
          <w:sz w:val="10"/>
        </w:rPr>
      </w:pPr>
    </w:p>
    <w:p>
      <w:pPr>
        <w:pStyle w:val="3"/>
        <w:spacing w:before="37" w:line="338" w:lineRule="auto"/>
        <w:ind w:right="1705" w:firstLine="480"/>
        <w:jc w:val="both"/>
        <w:rPr>
          <w:rFonts w:hint="eastAsia" w:ascii="微软雅黑" w:eastAsia="微软雅黑"/>
        </w:rPr>
      </w:pPr>
      <w:r>
        <w:rPr>
          <w:rFonts w:hint="eastAsia" w:ascii="微软雅黑" w:eastAsia="微软雅黑"/>
          <w:color w:val="333333"/>
          <w:spacing w:val="-6"/>
        </w:rPr>
        <w:t>企业由法人转变为个人独资企业、合伙企业等非法人组织，或将登记注册地转移至中华人民共和国境外（包括港澳台地区），</w:t>
      </w:r>
      <w:r>
        <w:rPr>
          <w:rFonts w:hint="eastAsia" w:ascii="微软雅黑" w:eastAsia="微软雅黑"/>
          <w:color w:val="333333"/>
          <w:spacing w:val="-7"/>
        </w:rPr>
        <w:t xml:space="preserve">应视同企业进行清算、分配， </w:t>
      </w:r>
      <w:r>
        <w:rPr>
          <w:rFonts w:hint="eastAsia" w:ascii="微软雅黑" w:eastAsia="微软雅黑"/>
          <w:color w:val="333333"/>
          <w:spacing w:val="-8"/>
        </w:rPr>
        <w:t>股东重新投资成立新企业。企业的全部资产以及股东投资的计税基础均应以公允价值为基础确定。</w:t>
      </w:r>
    </w:p>
    <w:p>
      <w:pPr>
        <w:pStyle w:val="3"/>
        <w:spacing w:line="338" w:lineRule="auto"/>
        <w:ind w:right="1705" w:firstLine="480"/>
        <w:jc w:val="both"/>
        <w:rPr>
          <w:rFonts w:hint="eastAsia" w:ascii="微软雅黑" w:eastAsia="微软雅黑"/>
        </w:rPr>
      </w:pPr>
      <w:r>
        <w:rPr>
          <w:rFonts w:hint="eastAsia" w:ascii="微软雅黑" w:eastAsia="微软雅黑"/>
          <w:color w:val="333333"/>
        </w:rPr>
        <w:t>企业发生其他法律形式简单改变的，可直接变更税务登记，除另有规定外， 有关企业所得税纳税事项（包括亏损结转、税收优惠等权益和义务）由变更后企业承继，但因住所发生变化而不符合税收优惠条件的除外。</w:t>
      </w:r>
    </w:p>
    <w:p>
      <w:pPr>
        <w:spacing w:before="1"/>
        <w:ind w:left="2280" w:right="0" w:firstLine="0"/>
        <w:jc w:val="left"/>
        <w:rPr>
          <w:rFonts w:hint="eastAsia" w:ascii="微软雅黑" w:eastAsia="微软雅黑"/>
          <w:b/>
          <w:sz w:val="24"/>
        </w:rPr>
      </w:pPr>
      <w:r>
        <w:rPr>
          <w:rFonts w:hint="eastAsia" w:ascii="微软雅黑" w:eastAsia="微软雅黑"/>
          <w:b/>
          <w:color w:val="333333"/>
          <w:sz w:val="24"/>
        </w:rPr>
        <w:t>【适用条件】</w:t>
      </w:r>
    </w:p>
    <w:p>
      <w:pPr>
        <w:pStyle w:val="3"/>
        <w:spacing w:before="181"/>
        <w:ind w:left="2280"/>
        <w:rPr>
          <w:rFonts w:hint="eastAsia" w:ascii="微软雅黑" w:eastAsia="微软雅黑"/>
        </w:rPr>
      </w:pPr>
      <w:r>
        <w:pict>
          <v:shape id="_x0000_s1043" o:spid="_x0000_s1043" o:spt="136" type="#_x0000_t136" style="position:absolute;left:0pt;margin-left:41.25pt;margin-top:32.55pt;height:132pt;width:528.05pt;mso-position-horizontal-relative:page;rotation:20643840f;z-index:-251638784;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eastAsia="微软雅黑"/>
          <w:color w:val="333333"/>
        </w:rPr>
        <w:t>无</w:t>
      </w:r>
    </w:p>
    <w:p>
      <w:pPr>
        <w:spacing w:before="182"/>
        <w:ind w:left="2280" w:right="0" w:firstLine="0"/>
        <w:jc w:val="left"/>
        <w:rPr>
          <w:rFonts w:hint="eastAsia" w:ascii="微软雅黑" w:eastAsia="微软雅黑"/>
          <w:b/>
          <w:sz w:val="24"/>
        </w:rPr>
      </w:pPr>
      <w:r>
        <w:rPr>
          <w:rFonts w:hint="eastAsia" w:ascii="微软雅黑" w:eastAsia="微软雅黑"/>
          <w:b/>
          <w:color w:val="333333"/>
          <w:sz w:val="24"/>
        </w:rPr>
        <w:t>【备案资料】</w:t>
      </w:r>
    </w:p>
    <w:p>
      <w:pPr>
        <w:pStyle w:val="3"/>
        <w:spacing w:before="181" w:line="338" w:lineRule="auto"/>
        <w:ind w:right="1797" w:firstLine="480"/>
        <w:jc w:val="both"/>
        <w:rPr>
          <w:rFonts w:hint="eastAsia" w:ascii="微软雅黑" w:eastAsia="微软雅黑"/>
        </w:rPr>
      </w:pPr>
      <w:r>
        <w:rPr>
          <w:rFonts w:hint="eastAsia" w:ascii="微软雅黑" w:eastAsia="微软雅黑"/>
          <w:color w:val="333333"/>
          <w:spacing w:val="-6"/>
        </w:rPr>
        <w:t>对企业由法人转变为个人独资企业、合伙企业等非法人组织，或将登记注册</w:t>
      </w:r>
      <w:r>
        <w:rPr>
          <w:rFonts w:hint="eastAsia" w:ascii="微软雅黑" w:eastAsia="微软雅黑"/>
          <w:color w:val="333333"/>
          <w:spacing w:val="-2"/>
        </w:rPr>
        <w:t>地转移至中华人民共和国境外</w:t>
      </w:r>
      <w:r>
        <w:rPr>
          <w:rFonts w:hint="eastAsia" w:ascii="微软雅黑" w:eastAsia="微软雅黑"/>
          <w:color w:val="333333"/>
        </w:rPr>
        <w:t>（包括港澳台地区</w:t>
      </w:r>
      <w:r>
        <w:rPr>
          <w:rFonts w:hint="eastAsia" w:ascii="微软雅黑" w:eastAsia="微软雅黑"/>
          <w:color w:val="333333"/>
          <w:spacing w:val="-22"/>
        </w:rPr>
        <w:t>）</w:t>
      </w:r>
      <w:r>
        <w:rPr>
          <w:rFonts w:hint="eastAsia" w:ascii="微软雅黑" w:eastAsia="微软雅黑"/>
          <w:color w:val="333333"/>
          <w:spacing w:val="-9"/>
        </w:rPr>
        <w:t>的，企业除须报送《企业清算</w:t>
      </w:r>
      <w:r>
        <w:rPr>
          <w:rFonts w:hint="eastAsia" w:ascii="微软雅黑" w:eastAsia="微软雅黑"/>
          <w:color w:val="333333"/>
        </w:rPr>
        <w:t>所得纳税申报表》外，还应附送以下资料：</w:t>
      </w:r>
    </w:p>
    <w:p>
      <w:pPr>
        <w:pStyle w:val="8"/>
        <w:numPr>
          <w:ilvl w:val="0"/>
          <w:numId w:val="13"/>
        </w:numPr>
        <w:tabs>
          <w:tab w:val="left" w:pos="2481"/>
        </w:tabs>
        <w:spacing w:before="1" w:after="0" w:line="240" w:lineRule="auto"/>
        <w:ind w:left="2480" w:right="0" w:hanging="201"/>
        <w:jc w:val="left"/>
        <w:rPr>
          <w:sz w:val="24"/>
        </w:rPr>
      </w:pPr>
      <w:r>
        <w:rPr>
          <w:color w:val="333333"/>
          <w:sz w:val="24"/>
        </w:rPr>
        <w:t>企业改变法律形式的工商部门或其他政府部门的批准文件；</w:t>
      </w:r>
    </w:p>
    <w:p>
      <w:pPr>
        <w:pStyle w:val="8"/>
        <w:numPr>
          <w:ilvl w:val="0"/>
          <w:numId w:val="13"/>
        </w:numPr>
        <w:tabs>
          <w:tab w:val="left" w:pos="2481"/>
        </w:tabs>
        <w:spacing w:before="182" w:after="0" w:line="240" w:lineRule="auto"/>
        <w:ind w:left="2480" w:right="0" w:hanging="201"/>
        <w:jc w:val="left"/>
        <w:rPr>
          <w:sz w:val="24"/>
        </w:rPr>
      </w:pPr>
      <w:r>
        <w:rPr>
          <w:color w:val="333333"/>
          <w:sz w:val="24"/>
        </w:rPr>
        <w:t>企业全部资产的计税基础以及评估机构出具的资产评估报告；</w:t>
      </w:r>
    </w:p>
    <w:p>
      <w:pPr>
        <w:pStyle w:val="8"/>
        <w:numPr>
          <w:ilvl w:val="0"/>
          <w:numId w:val="13"/>
        </w:numPr>
        <w:tabs>
          <w:tab w:val="left" w:pos="2481"/>
        </w:tabs>
        <w:spacing w:before="181" w:after="0" w:line="240" w:lineRule="auto"/>
        <w:ind w:left="2480" w:right="0" w:hanging="201"/>
        <w:jc w:val="left"/>
        <w:rPr>
          <w:sz w:val="24"/>
        </w:rPr>
      </w:pPr>
      <w:r>
        <w:rPr>
          <w:color w:val="333333"/>
          <w:sz w:val="24"/>
        </w:rPr>
        <w:t>企业债权、债务处理或归属情况说明；</w:t>
      </w:r>
    </w:p>
    <w:p>
      <w:pPr>
        <w:pStyle w:val="8"/>
        <w:numPr>
          <w:ilvl w:val="0"/>
          <w:numId w:val="13"/>
        </w:numPr>
        <w:tabs>
          <w:tab w:val="left" w:pos="2481"/>
        </w:tabs>
        <w:spacing w:before="182" w:after="0" w:line="240" w:lineRule="auto"/>
        <w:ind w:left="2480" w:right="0" w:hanging="201"/>
        <w:jc w:val="left"/>
        <w:rPr>
          <w:sz w:val="24"/>
        </w:rPr>
      </w:pPr>
      <w:r>
        <w:rPr>
          <w:color w:val="333333"/>
          <w:sz w:val="24"/>
        </w:rPr>
        <w:t>主管税务机关要求提供的其他资料证明。</w:t>
      </w:r>
    </w:p>
    <w:p>
      <w:pPr>
        <w:spacing w:before="182"/>
        <w:ind w:left="2280" w:right="0" w:firstLine="0"/>
        <w:jc w:val="left"/>
        <w:rPr>
          <w:rFonts w:hint="eastAsia" w:ascii="微软雅黑" w:eastAsia="微软雅黑"/>
          <w:b/>
          <w:sz w:val="24"/>
        </w:rPr>
      </w:pPr>
      <w:r>
        <w:rPr>
          <w:rFonts w:hint="eastAsia" w:ascii="微软雅黑" w:eastAsia="微软雅黑"/>
          <w:b/>
          <w:color w:val="333333"/>
          <w:sz w:val="24"/>
        </w:rPr>
        <w:t>【政策依据】</w:t>
      </w:r>
    </w:p>
    <w:p>
      <w:pPr>
        <w:pStyle w:val="8"/>
        <w:numPr>
          <w:ilvl w:val="0"/>
          <w:numId w:val="14"/>
        </w:numPr>
        <w:tabs>
          <w:tab w:val="left" w:pos="2481"/>
        </w:tabs>
        <w:spacing w:before="181" w:after="0" w:line="240" w:lineRule="auto"/>
        <w:ind w:left="2480" w:right="0" w:hanging="201"/>
        <w:jc w:val="left"/>
        <w:rPr>
          <w:color w:val="333333"/>
          <w:sz w:val="22"/>
        </w:rPr>
      </w:pPr>
      <w:r>
        <w:fldChar w:fldCharType="begin"/>
      </w:r>
      <w:r>
        <w:instrText xml:space="preserve"> HYPERLINK \l "_bookmark16" </w:instrText>
      </w:r>
      <w:r>
        <w:fldChar w:fldCharType="separate"/>
      </w:r>
      <w:r>
        <w:rPr>
          <w:color w:val="0000FF"/>
          <w:sz w:val="24"/>
          <w:u w:val="single" w:color="0000FF"/>
        </w:rPr>
        <w:t>《中华人民共和国企业所得税法》第二十条</w:t>
      </w:r>
      <w:r>
        <w:rPr>
          <w:color w:val="0000FF"/>
          <w:sz w:val="24"/>
          <w:u w:val="single" w:color="0000FF"/>
        </w:rPr>
        <w:fldChar w:fldCharType="end"/>
      </w:r>
    </w:p>
    <w:p>
      <w:pPr>
        <w:pStyle w:val="8"/>
        <w:numPr>
          <w:ilvl w:val="0"/>
          <w:numId w:val="14"/>
        </w:numPr>
        <w:tabs>
          <w:tab w:val="left" w:pos="2481"/>
        </w:tabs>
        <w:spacing w:before="182" w:after="0" w:line="240" w:lineRule="auto"/>
        <w:ind w:left="2480" w:right="0" w:hanging="201"/>
        <w:jc w:val="left"/>
        <w:rPr>
          <w:color w:val="333333"/>
          <w:sz w:val="22"/>
        </w:rPr>
      </w:pPr>
      <w:r>
        <w:fldChar w:fldCharType="begin"/>
      </w:r>
      <w:r>
        <w:instrText xml:space="preserve"> HYPERLINK \l "_bookmark17" </w:instrText>
      </w:r>
      <w:r>
        <w:fldChar w:fldCharType="separate"/>
      </w:r>
      <w:r>
        <w:rPr>
          <w:color w:val="0000FF"/>
          <w:sz w:val="24"/>
          <w:u w:val="single" w:color="0000FF"/>
        </w:rPr>
        <w:t>《中华人民共和国企业所得税法实施条例》第七十五条</w:t>
      </w:r>
      <w:r>
        <w:rPr>
          <w:color w:val="0000FF"/>
          <w:sz w:val="24"/>
          <w:u w:val="single" w:color="0000FF"/>
        </w:rPr>
        <w:fldChar w:fldCharType="end"/>
      </w:r>
    </w:p>
    <w:p>
      <w:pPr>
        <w:pStyle w:val="8"/>
        <w:numPr>
          <w:ilvl w:val="0"/>
          <w:numId w:val="14"/>
        </w:numPr>
        <w:tabs>
          <w:tab w:val="left" w:pos="2484"/>
        </w:tabs>
        <w:spacing w:before="4" w:after="0" w:line="620" w:lineRule="atLeast"/>
        <w:ind w:left="1800" w:right="1797" w:firstLine="480"/>
        <w:jc w:val="left"/>
        <w:rPr>
          <w:color w:val="333333"/>
          <w:sz w:val="22"/>
        </w:rPr>
      </w:pPr>
      <w:r>
        <w:fldChar w:fldCharType="begin"/>
      </w:r>
      <w:r>
        <w:instrText xml:space="preserve"> HYPERLINK \l "_bookmark18" </w:instrText>
      </w:r>
      <w:r>
        <w:fldChar w:fldCharType="separate"/>
      </w:r>
      <w:r>
        <w:rPr>
          <w:color w:val="0000FF"/>
          <w:spacing w:val="7"/>
          <w:sz w:val="24"/>
          <w:u w:val="single" w:color="0000FF"/>
        </w:rPr>
        <w:t>《</w:t>
      </w:r>
      <w:r>
        <w:rPr>
          <w:color w:val="0000FF"/>
          <w:spacing w:val="7"/>
          <w:sz w:val="24"/>
          <w:u w:val="single" w:color="0000FF"/>
        </w:rPr>
        <w:fldChar w:fldCharType="end"/>
      </w:r>
      <w:r>
        <w:fldChar w:fldCharType="begin"/>
      </w:r>
      <w:r>
        <w:instrText xml:space="preserve"> HYPERLINK \l "_bookmark18" </w:instrText>
      </w:r>
      <w:r>
        <w:fldChar w:fldCharType="separate"/>
      </w:r>
      <w:r>
        <w:rPr>
          <w:color w:val="0000FF"/>
          <w:spacing w:val="3"/>
          <w:sz w:val="24"/>
          <w:u w:val="single" w:color="0000FF"/>
        </w:rPr>
        <w:t>财政部国家税务总局关于企业重组业务企业所得税处理若干问题的通</w:t>
      </w:r>
      <w:r>
        <w:rPr>
          <w:color w:val="0000FF"/>
          <w:spacing w:val="3"/>
          <w:sz w:val="24"/>
          <w:u w:val="single" w:color="0000FF"/>
        </w:rPr>
        <w:fldChar w:fldCharType="end"/>
      </w:r>
      <w:r>
        <w:rPr>
          <w:color w:val="0000FF"/>
          <w:spacing w:val="-231"/>
          <w:sz w:val="24"/>
          <w:u w:val="single" w:color="0000FF"/>
        </w:rPr>
        <w:t>知》</w:t>
      </w:r>
      <w:r>
        <w:rPr>
          <w:color w:val="0000FF"/>
          <w:sz w:val="24"/>
          <w:u w:val="single" w:color="0000FF"/>
        </w:rPr>
        <w:t>（财税〔2009〕59</w:t>
      </w:r>
      <w:r>
        <w:rPr>
          <w:color w:val="0000FF"/>
          <w:spacing w:val="-6"/>
          <w:sz w:val="24"/>
          <w:u w:val="single" w:color="0000FF"/>
        </w:rPr>
        <w:t xml:space="preserve"> 号</w:t>
      </w:r>
      <w:r>
        <w:rPr>
          <w:color w:val="0000FF"/>
          <w:sz w:val="24"/>
          <w:u w:val="single" w:color="0000FF"/>
        </w:rPr>
        <w:t>）</w:t>
      </w:r>
    </w:p>
    <w:p>
      <w:pPr>
        <w:spacing w:after="0" w:line="620" w:lineRule="atLeast"/>
        <w:jc w:val="left"/>
        <w:rPr>
          <w:sz w:val="22"/>
        </w:rPr>
        <w:sectPr>
          <w:pgSz w:w="11910" w:h="16840"/>
          <w:pgMar w:top="1540" w:right="0" w:bottom="1380" w:left="0" w:header="965" w:footer="1182" w:gutter="0"/>
          <w:cols w:space="720" w:num="1"/>
        </w:sectPr>
      </w:pPr>
    </w:p>
    <w:p>
      <w:pPr>
        <w:pStyle w:val="3"/>
        <w:spacing w:before="11"/>
        <w:ind w:left="0"/>
        <w:rPr>
          <w:rFonts w:ascii="微软雅黑"/>
          <w:sz w:val="10"/>
        </w:rPr>
      </w:pPr>
    </w:p>
    <w:p>
      <w:pPr>
        <w:pStyle w:val="8"/>
        <w:numPr>
          <w:ilvl w:val="0"/>
          <w:numId w:val="14"/>
        </w:numPr>
        <w:tabs>
          <w:tab w:val="left" w:pos="2481"/>
        </w:tabs>
        <w:spacing w:before="37" w:after="0" w:line="240" w:lineRule="auto"/>
        <w:ind w:left="2480" w:right="0" w:hanging="201"/>
        <w:jc w:val="left"/>
        <w:rPr>
          <w:sz w:val="22"/>
        </w:rPr>
      </w:pPr>
      <w:r>
        <w:fldChar w:fldCharType="begin"/>
      </w:r>
      <w:r>
        <w:instrText xml:space="preserve"> HYPERLINK \l "_bookmark19" </w:instrText>
      </w:r>
      <w:r>
        <w:fldChar w:fldCharType="separate"/>
      </w:r>
      <w:r>
        <w:rPr>
          <w:color w:val="0000FF"/>
          <w:sz w:val="24"/>
          <w:u w:val="single" w:color="0000FF"/>
        </w:rPr>
        <w:t>《</w:t>
      </w:r>
      <w:r>
        <w:rPr>
          <w:color w:val="0000FF"/>
          <w:sz w:val="24"/>
          <w:u w:val="single" w:color="0000FF"/>
        </w:rPr>
        <w:fldChar w:fldCharType="end"/>
      </w:r>
      <w:r>
        <w:fldChar w:fldCharType="begin"/>
      </w:r>
      <w:r>
        <w:instrText xml:space="preserve"> HYPERLINK \l "_bookmark19" </w:instrText>
      </w:r>
      <w:r>
        <w:fldChar w:fldCharType="separate"/>
      </w:r>
      <w:r>
        <w:rPr>
          <w:color w:val="0000FF"/>
          <w:sz w:val="24"/>
          <w:u w:val="single" w:color="0000FF"/>
        </w:rPr>
        <w:t>国家税务总局关于发布&lt;企业重组业务企业所得税管理办法&gt;的公告》</w:t>
      </w:r>
      <w:r>
        <w:rPr>
          <w:color w:val="0000FF"/>
          <w:sz w:val="24"/>
          <w:u w:val="single" w:color="0000FF"/>
        </w:rPr>
        <w:fldChar w:fldCharType="end"/>
      </w:r>
    </w:p>
    <w:p>
      <w:pPr>
        <w:pStyle w:val="3"/>
        <w:spacing w:before="182"/>
        <w:rPr>
          <w:rFonts w:hint="eastAsia" w:ascii="微软雅黑" w:eastAsia="微软雅黑"/>
        </w:rPr>
      </w:pPr>
      <w:r>
        <w:rPr>
          <w:rFonts w:hint="eastAsia" w:ascii="微软雅黑" w:eastAsia="微软雅黑"/>
          <w:color w:val="0000FF"/>
          <w:u w:val="single" w:color="0000FF"/>
        </w:rPr>
        <w:t>（国家税务总局公告 2010 年第 4 号）</w:t>
      </w:r>
    </w:p>
    <w:p>
      <w:pPr>
        <w:pStyle w:val="8"/>
        <w:numPr>
          <w:ilvl w:val="0"/>
          <w:numId w:val="14"/>
        </w:numPr>
        <w:tabs>
          <w:tab w:val="left" w:pos="2484"/>
        </w:tabs>
        <w:spacing w:before="181" w:after="0" w:line="338" w:lineRule="auto"/>
        <w:ind w:left="1800" w:right="1797" w:firstLine="480"/>
        <w:jc w:val="left"/>
        <w:rPr>
          <w:color w:val="333333"/>
          <w:sz w:val="22"/>
        </w:rPr>
      </w:pPr>
      <w:r>
        <w:fldChar w:fldCharType="begin"/>
      </w:r>
      <w:r>
        <w:instrText xml:space="preserve"> HYPERLINK \l "_bookmark20" </w:instrText>
      </w:r>
      <w:r>
        <w:fldChar w:fldCharType="separate"/>
      </w:r>
      <w:r>
        <w:rPr>
          <w:color w:val="0000FF"/>
          <w:spacing w:val="7"/>
          <w:sz w:val="24"/>
          <w:u w:val="single" w:color="0000FF"/>
        </w:rPr>
        <w:t>《</w:t>
      </w:r>
      <w:r>
        <w:rPr>
          <w:color w:val="0000FF"/>
          <w:spacing w:val="7"/>
          <w:sz w:val="24"/>
          <w:u w:val="single" w:color="0000FF"/>
        </w:rPr>
        <w:fldChar w:fldCharType="end"/>
      </w:r>
      <w:r>
        <w:fldChar w:fldCharType="begin"/>
      </w:r>
      <w:r>
        <w:instrText xml:space="preserve"> HYPERLINK \l "_bookmark20" </w:instrText>
      </w:r>
      <w:r>
        <w:fldChar w:fldCharType="separate"/>
      </w:r>
      <w:r>
        <w:rPr>
          <w:color w:val="0000FF"/>
          <w:spacing w:val="3"/>
          <w:sz w:val="24"/>
          <w:u w:val="single" w:color="0000FF"/>
        </w:rPr>
        <w:t>财政部国家税务总局关于促进企业重组有关企业所得税处理问题的通</w:t>
      </w:r>
      <w:r>
        <w:rPr>
          <w:color w:val="0000FF"/>
          <w:spacing w:val="3"/>
          <w:sz w:val="24"/>
          <w:u w:val="single" w:color="0000FF"/>
        </w:rPr>
        <w:fldChar w:fldCharType="end"/>
      </w:r>
      <w:r>
        <w:rPr>
          <w:color w:val="0000FF"/>
          <w:spacing w:val="-231"/>
          <w:sz w:val="24"/>
          <w:u w:val="single" w:color="0000FF"/>
        </w:rPr>
        <w:t>知》</w:t>
      </w:r>
      <w:r>
        <w:rPr>
          <w:color w:val="0000FF"/>
          <w:sz w:val="24"/>
          <w:u w:val="single" w:color="0000FF"/>
        </w:rPr>
        <w:t>（财税〔2014〕109</w:t>
      </w:r>
      <w:r>
        <w:rPr>
          <w:color w:val="0000FF"/>
          <w:spacing w:val="-7"/>
          <w:sz w:val="24"/>
          <w:u w:val="single" w:color="0000FF"/>
        </w:rPr>
        <w:t xml:space="preserve"> 号</w:t>
      </w:r>
      <w:r>
        <w:rPr>
          <w:color w:val="0000FF"/>
          <w:sz w:val="24"/>
          <w:u w:val="single" w:color="0000FF"/>
        </w:rPr>
        <w:t>）</w:t>
      </w:r>
    </w:p>
    <w:p>
      <w:pPr>
        <w:pStyle w:val="8"/>
        <w:numPr>
          <w:ilvl w:val="0"/>
          <w:numId w:val="14"/>
        </w:numPr>
        <w:tabs>
          <w:tab w:val="left" w:pos="2481"/>
        </w:tabs>
        <w:spacing w:before="1" w:after="0" w:line="240" w:lineRule="auto"/>
        <w:ind w:left="2480" w:right="0" w:hanging="201"/>
        <w:jc w:val="left"/>
        <w:rPr>
          <w:color w:val="333333"/>
          <w:sz w:val="22"/>
        </w:rPr>
      </w:pPr>
      <w:r>
        <w:fldChar w:fldCharType="begin"/>
      </w:r>
      <w:r>
        <w:instrText xml:space="preserve"> HYPERLINK \l "_bookmark21" </w:instrText>
      </w:r>
      <w:r>
        <w:fldChar w:fldCharType="separate"/>
      </w:r>
      <w:r>
        <w:rPr>
          <w:color w:val="0000FF"/>
          <w:sz w:val="24"/>
          <w:u w:val="single" w:color="0000FF"/>
        </w:rPr>
        <w:t>《国家税务总局关于企业重组业务企业所得税</w:t>
      </w:r>
      <w:r>
        <w:rPr>
          <w:color w:val="0000FF"/>
          <w:sz w:val="24"/>
          <w:u w:val="single" w:color="0000FF"/>
        </w:rPr>
        <w:fldChar w:fldCharType="end"/>
      </w:r>
      <w:r>
        <w:fldChar w:fldCharType="begin"/>
      </w:r>
      <w:r>
        <w:instrText xml:space="preserve"> HYPERLINK \l "_bookmark21" </w:instrText>
      </w:r>
      <w:r>
        <w:fldChar w:fldCharType="separate"/>
      </w:r>
      <w:r>
        <w:rPr>
          <w:color w:val="0000FF"/>
          <w:sz w:val="24"/>
          <w:u w:val="single" w:color="0000FF"/>
        </w:rPr>
        <w:t>征收管理若干问题的公告》</w:t>
      </w:r>
      <w:r>
        <w:rPr>
          <w:color w:val="0000FF"/>
          <w:sz w:val="24"/>
          <w:u w:val="single" w:color="0000FF"/>
        </w:rPr>
        <w:fldChar w:fldCharType="end"/>
      </w:r>
    </w:p>
    <w:p>
      <w:pPr>
        <w:pStyle w:val="3"/>
        <w:spacing w:before="181"/>
        <w:rPr>
          <w:rFonts w:hint="eastAsia" w:ascii="微软雅黑" w:eastAsia="微软雅黑"/>
        </w:rPr>
      </w:pPr>
      <w:r>
        <w:rPr>
          <w:rFonts w:hint="eastAsia" w:ascii="微软雅黑" w:eastAsia="微软雅黑"/>
          <w:color w:val="0000FF"/>
          <w:u w:val="single" w:color="0000FF"/>
        </w:rPr>
        <w:t>（国家税务总局公告 2015 年第 48 号）</w:t>
      </w:r>
    </w:p>
    <w:p>
      <w:pPr>
        <w:pStyle w:val="3"/>
        <w:spacing w:before="0"/>
        <w:ind w:left="0"/>
        <w:rPr>
          <w:rFonts w:ascii="微软雅黑"/>
          <w:sz w:val="20"/>
        </w:rPr>
      </w:pPr>
    </w:p>
    <w:p>
      <w:pPr>
        <w:pStyle w:val="3"/>
        <w:spacing w:before="13"/>
        <w:ind w:left="0"/>
        <w:rPr>
          <w:rFonts w:ascii="微软雅黑"/>
          <w:sz w:val="21"/>
        </w:rPr>
      </w:pPr>
    </w:p>
    <w:p>
      <w:pPr>
        <w:spacing w:before="37"/>
        <w:ind w:left="2280" w:right="0" w:firstLine="0"/>
        <w:jc w:val="left"/>
        <w:outlineLvl w:val="1"/>
        <w:rPr>
          <w:rFonts w:hint="eastAsia" w:ascii="微软雅黑" w:eastAsia="微软雅黑"/>
          <w:b/>
          <w:sz w:val="24"/>
        </w:rPr>
      </w:pPr>
      <w:r>
        <w:rPr>
          <w:rFonts w:hint="eastAsia" w:ascii="微软雅黑" w:eastAsia="微软雅黑"/>
          <w:b/>
          <w:sz w:val="24"/>
        </w:rPr>
        <w:t>（二）债务重组</w:t>
      </w:r>
    </w:p>
    <w:p>
      <w:pPr>
        <w:spacing w:before="182"/>
        <w:ind w:left="2280" w:right="0" w:firstLine="0"/>
        <w:jc w:val="left"/>
        <w:rPr>
          <w:rFonts w:hint="eastAsia" w:ascii="微软雅黑" w:eastAsia="微软雅黑"/>
          <w:b/>
          <w:sz w:val="24"/>
        </w:rPr>
      </w:pPr>
      <w:r>
        <w:pict>
          <v:shape id="_x0000_s1044" o:spid="_x0000_s1044" o:spt="136" type="#_x0000_t136" style="position:absolute;left:0pt;margin-left:41.25pt;margin-top:32.6pt;height:132pt;width:528.05pt;mso-position-horizontal-relative:page;rotation:20643840f;z-index:-251637760;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eastAsia="微软雅黑"/>
          <w:b/>
          <w:sz w:val="24"/>
        </w:rPr>
        <w:t>【适用主体】</w:t>
      </w:r>
    </w:p>
    <w:p>
      <w:pPr>
        <w:pStyle w:val="3"/>
        <w:spacing w:before="181"/>
        <w:ind w:left="2280"/>
        <w:rPr>
          <w:rFonts w:hint="eastAsia" w:ascii="微软雅黑" w:eastAsia="微软雅黑"/>
        </w:rPr>
      </w:pPr>
      <w:r>
        <w:rPr>
          <w:rFonts w:hint="eastAsia" w:ascii="微软雅黑" w:eastAsia="微软雅黑"/>
        </w:rPr>
        <w:t>所有企业</w:t>
      </w:r>
    </w:p>
    <w:p>
      <w:pPr>
        <w:spacing w:before="182"/>
        <w:ind w:left="2280" w:right="0" w:firstLine="0"/>
        <w:jc w:val="left"/>
        <w:rPr>
          <w:rFonts w:hint="eastAsia" w:ascii="微软雅黑" w:eastAsia="微软雅黑"/>
          <w:b/>
          <w:sz w:val="24"/>
        </w:rPr>
      </w:pPr>
      <w:r>
        <w:rPr>
          <w:rFonts w:hint="eastAsia" w:ascii="微软雅黑" w:eastAsia="微软雅黑"/>
          <w:b/>
          <w:sz w:val="24"/>
        </w:rPr>
        <w:t>【政策内容】</w:t>
      </w:r>
    </w:p>
    <w:p>
      <w:pPr>
        <w:pStyle w:val="8"/>
        <w:numPr>
          <w:ilvl w:val="0"/>
          <w:numId w:val="15"/>
        </w:numPr>
        <w:tabs>
          <w:tab w:val="left" w:pos="2481"/>
        </w:tabs>
        <w:spacing w:before="182" w:after="0" w:line="240" w:lineRule="auto"/>
        <w:ind w:left="2480" w:right="0" w:hanging="201"/>
        <w:jc w:val="left"/>
        <w:rPr>
          <w:sz w:val="24"/>
        </w:rPr>
      </w:pPr>
      <w:r>
        <w:rPr>
          <w:sz w:val="24"/>
        </w:rPr>
        <w:t>债务重组的当事各方：债务人、债权人。</w:t>
      </w:r>
    </w:p>
    <w:p>
      <w:pPr>
        <w:pStyle w:val="8"/>
        <w:numPr>
          <w:ilvl w:val="0"/>
          <w:numId w:val="15"/>
        </w:numPr>
        <w:tabs>
          <w:tab w:val="left" w:pos="2481"/>
        </w:tabs>
        <w:spacing w:before="181" w:after="0" w:line="338" w:lineRule="auto"/>
        <w:ind w:left="1800" w:right="1797" w:firstLine="480"/>
        <w:jc w:val="left"/>
        <w:rPr>
          <w:sz w:val="24"/>
        </w:rPr>
      </w:pPr>
      <w:r>
        <w:rPr>
          <w:spacing w:val="-4"/>
          <w:sz w:val="24"/>
        </w:rPr>
        <w:t>债务重组的当事各方企业选择特殊性税务处理的，以债务人为重组的主导</w:t>
      </w:r>
      <w:r>
        <w:rPr>
          <w:sz w:val="24"/>
        </w:rPr>
        <w:t>方。</w:t>
      </w:r>
    </w:p>
    <w:p>
      <w:pPr>
        <w:pStyle w:val="8"/>
        <w:numPr>
          <w:ilvl w:val="0"/>
          <w:numId w:val="15"/>
        </w:numPr>
        <w:tabs>
          <w:tab w:val="left" w:pos="2481"/>
        </w:tabs>
        <w:spacing w:before="1" w:after="0" w:line="240" w:lineRule="auto"/>
        <w:ind w:left="2480" w:right="0" w:hanging="201"/>
        <w:jc w:val="left"/>
        <w:rPr>
          <w:sz w:val="24"/>
        </w:rPr>
      </w:pPr>
      <w:r>
        <w:rPr>
          <w:sz w:val="24"/>
        </w:rPr>
        <w:t>处理规定</w:t>
      </w:r>
    </w:p>
    <w:p>
      <w:pPr>
        <w:pStyle w:val="8"/>
        <w:numPr>
          <w:ilvl w:val="0"/>
          <w:numId w:val="16"/>
        </w:numPr>
        <w:tabs>
          <w:tab w:val="left" w:pos="2901"/>
        </w:tabs>
        <w:spacing w:before="181" w:after="0" w:line="240" w:lineRule="auto"/>
        <w:ind w:left="2900" w:right="0" w:hanging="621"/>
        <w:jc w:val="left"/>
        <w:rPr>
          <w:sz w:val="24"/>
        </w:rPr>
      </w:pPr>
      <w:r>
        <w:rPr>
          <w:sz w:val="24"/>
        </w:rPr>
        <w:t>一般性税务处理规定</w:t>
      </w:r>
    </w:p>
    <w:p>
      <w:pPr>
        <w:pStyle w:val="3"/>
        <w:spacing w:before="182"/>
        <w:ind w:left="2280"/>
        <w:rPr>
          <w:rFonts w:hint="eastAsia" w:ascii="微软雅黑" w:hAnsi="微软雅黑" w:eastAsia="微软雅黑"/>
        </w:rPr>
      </w:pPr>
      <w:r>
        <w:rPr>
          <w:rFonts w:hint="eastAsia" w:ascii="微软雅黑" w:hAnsi="微软雅黑" w:eastAsia="微软雅黑"/>
        </w:rPr>
        <w:t>①减免债务</w:t>
      </w:r>
    </w:p>
    <w:p>
      <w:pPr>
        <w:pStyle w:val="3"/>
        <w:spacing w:before="182" w:line="338" w:lineRule="auto"/>
        <w:ind w:right="1677" w:firstLine="480"/>
        <w:rPr>
          <w:rFonts w:hint="eastAsia" w:ascii="微软雅黑" w:eastAsia="微软雅黑"/>
        </w:rPr>
      </w:pPr>
      <w:r>
        <w:rPr>
          <w:rFonts w:hint="eastAsia" w:ascii="微软雅黑" w:eastAsia="微软雅黑"/>
          <w:spacing w:val="2"/>
        </w:rPr>
        <w:t>债务人按照支付的债务清偿额低于债务计税基础的差额，确认债务重组所</w:t>
      </w:r>
      <w:r>
        <w:rPr>
          <w:rFonts w:hint="eastAsia" w:ascii="微软雅黑" w:eastAsia="微软雅黑"/>
          <w:spacing w:val="-16"/>
        </w:rPr>
        <w:t>得。债权人按照收到的债务清偿额低于债权计税基础的差额，确认债务重组损失。</w:t>
      </w:r>
    </w:p>
    <w:p>
      <w:pPr>
        <w:pStyle w:val="3"/>
        <w:spacing w:before="0"/>
        <w:ind w:left="2280"/>
        <w:rPr>
          <w:rFonts w:hint="eastAsia" w:ascii="微软雅黑" w:hAnsi="微软雅黑" w:eastAsia="微软雅黑"/>
        </w:rPr>
      </w:pPr>
      <w:r>
        <w:rPr>
          <w:rFonts w:hint="eastAsia" w:ascii="微软雅黑" w:hAnsi="微软雅黑" w:eastAsia="微软雅黑"/>
        </w:rPr>
        <w:t>②以非货币资产清偿债务</w:t>
      </w:r>
    </w:p>
    <w:p>
      <w:pPr>
        <w:pStyle w:val="3"/>
        <w:spacing w:before="4" w:line="620" w:lineRule="atLeast"/>
        <w:ind w:right="1797" w:firstLine="480"/>
        <w:rPr>
          <w:rFonts w:hint="eastAsia" w:ascii="微软雅黑" w:eastAsia="微软雅黑"/>
        </w:rPr>
      </w:pPr>
      <w:r>
        <w:rPr>
          <w:rFonts w:hint="eastAsia" w:ascii="微软雅黑" w:eastAsia="微软雅黑"/>
          <w:spacing w:val="-7"/>
        </w:rPr>
        <w:t>债务人分解为转让相关非货币性资产、按非货币性资产公允价值清偿债务两</w:t>
      </w:r>
      <w:r>
        <w:rPr>
          <w:rFonts w:hint="eastAsia" w:ascii="微软雅黑" w:eastAsia="微软雅黑"/>
          <w:spacing w:val="-10"/>
        </w:rPr>
        <w:t>项业务，分别确认资产转让所得与债务重组所得。债权人按照接受的非货币资产</w:t>
      </w:r>
    </w:p>
    <w:p>
      <w:pPr>
        <w:spacing w:after="0" w:line="620" w:lineRule="atLeast"/>
        <w:rPr>
          <w:rFonts w:hint="eastAsia" w:ascii="微软雅黑" w:eastAsia="微软雅黑"/>
        </w:rPr>
        <w:sectPr>
          <w:pgSz w:w="11910" w:h="16840"/>
          <w:pgMar w:top="1540" w:right="0" w:bottom="1380" w:left="0" w:header="965" w:footer="1182" w:gutter="0"/>
          <w:cols w:space="720" w:num="1"/>
        </w:sectPr>
      </w:pPr>
    </w:p>
    <w:p>
      <w:pPr>
        <w:pStyle w:val="3"/>
        <w:spacing w:before="11"/>
        <w:ind w:left="0"/>
        <w:rPr>
          <w:rFonts w:ascii="微软雅黑"/>
          <w:sz w:val="10"/>
        </w:rPr>
      </w:pPr>
    </w:p>
    <w:p>
      <w:pPr>
        <w:pStyle w:val="3"/>
        <w:spacing w:before="37" w:line="338" w:lineRule="auto"/>
        <w:ind w:right="1797"/>
        <w:rPr>
          <w:rFonts w:hint="eastAsia" w:ascii="微软雅黑" w:eastAsia="微软雅黑"/>
        </w:rPr>
      </w:pPr>
      <w:r>
        <w:rPr>
          <w:rFonts w:hint="eastAsia" w:ascii="微软雅黑" w:eastAsia="微软雅黑"/>
          <w:spacing w:val="-5"/>
        </w:rPr>
        <w:t>公允价值低于债权计税基础的差额确认债务重组损失，并按照接受的非货币资产</w:t>
      </w:r>
      <w:r>
        <w:rPr>
          <w:rFonts w:hint="eastAsia" w:ascii="微软雅黑" w:eastAsia="微软雅黑"/>
        </w:rPr>
        <w:t>公允价值确认其计税基础。</w:t>
      </w:r>
    </w:p>
    <w:p>
      <w:pPr>
        <w:pStyle w:val="3"/>
        <w:spacing w:before="0"/>
        <w:ind w:left="2280"/>
        <w:rPr>
          <w:rFonts w:hint="eastAsia" w:ascii="微软雅黑" w:hAnsi="微软雅黑" w:eastAsia="微软雅黑"/>
        </w:rPr>
      </w:pPr>
      <w:r>
        <w:rPr>
          <w:rFonts w:hint="eastAsia" w:ascii="微软雅黑" w:hAnsi="微软雅黑" w:eastAsia="微软雅黑"/>
        </w:rPr>
        <w:t>③债权转股权</w:t>
      </w:r>
    </w:p>
    <w:p>
      <w:pPr>
        <w:pStyle w:val="3"/>
        <w:spacing w:before="182" w:line="338" w:lineRule="auto"/>
        <w:ind w:right="1797" w:firstLine="480"/>
        <w:jc w:val="both"/>
        <w:rPr>
          <w:rFonts w:hint="eastAsia" w:ascii="微软雅黑" w:eastAsia="微软雅黑"/>
        </w:rPr>
      </w:pPr>
      <w:r>
        <w:rPr>
          <w:rFonts w:hint="eastAsia" w:ascii="微软雅黑" w:eastAsia="微软雅黑"/>
          <w:spacing w:val="-5"/>
        </w:rPr>
        <w:t>债务人按照债务转为资本部分公允价值低于债务计税基础的差额，确认债务</w:t>
      </w:r>
      <w:r>
        <w:rPr>
          <w:rFonts w:hint="eastAsia" w:ascii="微软雅黑" w:eastAsia="微软雅黑"/>
          <w:spacing w:val="-11"/>
        </w:rPr>
        <w:t>重组所得。债权人按照债权转为股权部分公允价值低于债权计税基础的差额确认</w:t>
      </w:r>
      <w:r>
        <w:rPr>
          <w:rFonts w:hint="eastAsia" w:ascii="微软雅黑" w:eastAsia="微软雅黑"/>
        </w:rPr>
        <w:t>债务重组损失，并按照股权投资的公允价值确定其计税基础。</w:t>
      </w:r>
    </w:p>
    <w:p>
      <w:pPr>
        <w:pStyle w:val="8"/>
        <w:numPr>
          <w:ilvl w:val="0"/>
          <w:numId w:val="16"/>
        </w:numPr>
        <w:tabs>
          <w:tab w:val="left" w:pos="2901"/>
        </w:tabs>
        <w:spacing w:before="1" w:after="0" w:line="240" w:lineRule="auto"/>
        <w:ind w:left="2900" w:right="0" w:hanging="621"/>
        <w:jc w:val="left"/>
        <w:rPr>
          <w:sz w:val="24"/>
        </w:rPr>
      </w:pPr>
      <w:r>
        <w:rPr>
          <w:sz w:val="24"/>
        </w:rPr>
        <w:t>特殊性税务处理规定</w:t>
      </w:r>
    </w:p>
    <w:p>
      <w:pPr>
        <w:pStyle w:val="3"/>
        <w:spacing w:before="181"/>
        <w:ind w:left="2280"/>
        <w:rPr>
          <w:rFonts w:hint="eastAsia" w:ascii="微软雅黑" w:hAnsi="微软雅黑" w:eastAsia="微软雅黑"/>
        </w:rPr>
      </w:pPr>
      <w:r>
        <w:rPr>
          <w:rFonts w:hint="eastAsia" w:ascii="微软雅黑" w:hAnsi="微软雅黑" w:eastAsia="微软雅黑"/>
        </w:rPr>
        <w:t>①减免债务</w:t>
      </w:r>
    </w:p>
    <w:p>
      <w:pPr>
        <w:pStyle w:val="3"/>
        <w:spacing w:before="182" w:line="338" w:lineRule="auto"/>
        <w:ind w:right="1795" w:firstLine="480"/>
        <w:jc w:val="both"/>
        <w:rPr>
          <w:rFonts w:hint="eastAsia" w:ascii="微软雅黑" w:eastAsia="微软雅黑"/>
        </w:rPr>
      </w:pPr>
      <w:r>
        <w:pict>
          <v:shape id="_x0000_s1045" o:spid="_x0000_s1045" o:spt="136" type="#_x0000_t136" style="position:absolute;left:0pt;margin-left:41.25pt;margin-top:32.6pt;height:132pt;width:528.05pt;mso-position-horizontal-relative:page;rotation:20643840f;z-index:-251636736;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eastAsia="微软雅黑"/>
          <w:spacing w:val="11"/>
        </w:rPr>
        <w:t>若债务人企业债务重组确认的应纳税所得额占该企业当年应纳税所得额50%</w:t>
      </w:r>
      <w:r>
        <w:rPr>
          <w:rFonts w:hint="eastAsia" w:ascii="微软雅黑" w:eastAsia="微软雅黑"/>
        </w:rPr>
        <w:t>以上，则其债务重组所得可以在 5 个纳税年度的期间内，均匀计入各年度</w:t>
      </w:r>
      <w:r>
        <w:rPr>
          <w:rFonts w:hint="eastAsia" w:ascii="微软雅黑" w:eastAsia="微软雅黑"/>
          <w:spacing w:val="-9"/>
        </w:rPr>
        <w:t>的应纳税所得额。债权人应按照收到的债务清偿额低于债权计税基础的差额，确</w:t>
      </w:r>
      <w:r>
        <w:rPr>
          <w:rFonts w:hint="eastAsia" w:ascii="微软雅黑" w:eastAsia="微软雅黑"/>
        </w:rPr>
        <w:t>认债务重组损失。</w:t>
      </w:r>
    </w:p>
    <w:p>
      <w:pPr>
        <w:pStyle w:val="3"/>
        <w:ind w:left="2280"/>
        <w:rPr>
          <w:rFonts w:hint="eastAsia" w:ascii="微软雅黑" w:hAnsi="微软雅黑" w:eastAsia="微软雅黑"/>
        </w:rPr>
      </w:pPr>
      <w:r>
        <w:rPr>
          <w:rFonts w:hint="eastAsia" w:ascii="微软雅黑" w:hAnsi="微软雅黑" w:eastAsia="微软雅黑"/>
        </w:rPr>
        <w:t>②以非货币资产清偿债务</w:t>
      </w:r>
    </w:p>
    <w:p>
      <w:pPr>
        <w:pStyle w:val="3"/>
        <w:spacing w:before="182" w:line="338" w:lineRule="auto"/>
        <w:ind w:right="1795" w:firstLine="480"/>
        <w:jc w:val="both"/>
        <w:rPr>
          <w:rFonts w:hint="eastAsia" w:ascii="微软雅黑" w:eastAsia="微软雅黑"/>
        </w:rPr>
      </w:pPr>
      <w:r>
        <w:rPr>
          <w:rFonts w:hint="eastAsia" w:ascii="微软雅黑" w:eastAsia="微软雅黑"/>
          <w:spacing w:val="11"/>
        </w:rPr>
        <w:t>若债务人企业债务重组确认的应纳税所得额占该企业当年应纳税所得额50%</w:t>
      </w:r>
      <w:r>
        <w:rPr>
          <w:rFonts w:hint="eastAsia" w:ascii="微软雅黑" w:eastAsia="微软雅黑"/>
        </w:rPr>
        <w:t>以上，则其债务重组所得可以在 5 个纳税年度的期间内，均匀计入各年度</w:t>
      </w:r>
      <w:r>
        <w:rPr>
          <w:rFonts w:hint="eastAsia" w:ascii="微软雅黑" w:eastAsia="微软雅黑"/>
          <w:spacing w:val="-11"/>
        </w:rPr>
        <w:t>的应纳税所得额。债权人按照接受的非货币资产公允价值低于债权计税基础的差</w:t>
      </w:r>
      <w:r>
        <w:rPr>
          <w:rFonts w:hint="eastAsia" w:ascii="微软雅黑" w:eastAsia="微软雅黑"/>
        </w:rPr>
        <w:t>额确认债务重组损失，并按照接受的非货币资产公允价值确认其计税基础。</w:t>
      </w:r>
    </w:p>
    <w:p>
      <w:pPr>
        <w:pStyle w:val="3"/>
        <w:ind w:left="2280"/>
        <w:rPr>
          <w:rFonts w:hint="eastAsia" w:ascii="微软雅黑" w:hAnsi="微软雅黑" w:eastAsia="微软雅黑"/>
        </w:rPr>
      </w:pPr>
      <w:r>
        <w:rPr>
          <w:rFonts w:hint="eastAsia" w:ascii="微软雅黑" w:hAnsi="微软雅黑" w:eastAsia="微软雅黑"/>
        </w:rPr>
        <w:t>③债权转股权</w:t>
      </w:r>
    </w:p>
    <w:p>
      <w:pPr>
        <w:pStyle w:val="3"/>
        <w:spacing w:before="181" w:line="338" w:lineRule="auto"/>
        <w:ind w:right="1797" w:firstLine="480"/>
        <w:jc w:val="both"/>
        <w:rPr>
          <w:rFonts w:hint="eastAsia" w:ascii="微软雅黑" w:eastAsia="微软雅黑"/>
        </w:rPr>
      </w:pPr>
      <w:r>
        <w:rPr>
          <w:rFonts w:hint="eastAsia" w:ascii="微软雅黑" w:eastAsia="微软雅黑"/>
          <w:spacing w:val="2"/>
        </w:rPr>
        <w:t>债务人对债务清偿业务暂不确认所得，企业的其他相关所得税事项保持不</w:t>
      </w:r>
      <w:r>
        <w:rPr>
          <w:rFonts w:hint="eastAsia" w:ascii="微软雅黑" w:eastAsia="微软雅黑"/>
          <w:spacing w:val="-10"/>
        </w:rPr>
        <w:t>变。债权人对债权转股权业务暂不确认损失，股权投资的计税基础以原债权的计</w:t>
      </w:r>
      <w:r>
        <w:rPr>
          <w:rFonts w:hint="eastAsia" w:ascii="微软雅黑" w:eastAsia="微软雅黑"/>
        </w:rPr>
        <w:t>税基础确定。企业的其他相关所得税事项保持不变。</w:t>
      </w:r>
    </w:p>
    <w:p>
      <w:pPr>
        <w:spacing w:before="1"/>
        <w:ind w:left="2280" w:right="0" w:firstLine="0"/>
        <w:jc w:val="left"/>
        <w:rPr>
          <w:rFonts w:hint="eastAsia" w:ascii="微软雅黑" w:eastAsia="微软雅黑"/>
          <w:b/>
          <w:sz w:val="24"/>
        </w:rPr>
      </w:pPr>
      <w:r>
        <w:rPr>
          <w:rFonts w:hint="eastAsia" w:ascii="微软雅黑" w:eastAsia="微软雅黑"/>
          <w:b/>
          <w:sz w:val="24"/>
        </w:rPr>
        <w:t>【适用条件】</w:t>
      </w:r>
    </w:p>
    <w:p>
      <w:pPr>
        <w:spacing w:after="0"/>
        <w:jc w:val="left"/>
        <w:rPr>
          <w:rFonts w:hint="eastAsia" w:ascii="微软雅黑" w:eastAsia="微软雅黑"/>
          <w:sz w:val="24"/>
        </w:rPr>
        <w:sectPr>
          <w:pgSz w:w="11910" w:h="16840"/>
          <w:pgMar w:top="1540" w:right="0" w:bottom="1380" w:left="0" w:header="965" w:footer="1182" w:gutter="0"/>
          <w:cols w:space="720" w:num="1"/>
        </w:sectPr>
      </w:pPr>
    </w:p>
    <w:p>
      <w:pPr>
        <w:pStyle w:val="3"/>
        <w:spacing w:before="11"/>
        <w:ind w:left="0"/>
        <w:rPr>
          <w:rFonts w:ascii="微软雅黑"/>
          <w:b/>
          <w:sz w:val="10"/>
        </w:rPr>
      </w:pPr>
    </w:p>
    <w:p>
      <w:pPr>
        <w:pStyle w:val="3"/>
        <w:spacing w:before="37"/>
        <w:ind w:left="2280"/>
        <w:rPr>
          <w:rFonts w:hint="eastAsia" w:ascii="微软雅黑" w:eastAsia="微软雅黑"/>
        </w:rPr>
      </w:pPr>
      <w:r>
        <w:rPr>
          <w:rFonts w:hint="eastAsia" w:ascii="微软雅黑" w:eastAsia="微软雅黑"/>
        </w:rPr>
        <w:t>债务重组适用特殊性处税务处理的条件包括：</w:t>
      </w:r>
    </w:p>
    <w:p>
      <w:pPr>
        <w:pStyle w:val="8"/>
        <w:numPr>
          <w:ilvl w:val="0"/>
          <w:numId w:val="17"/>
        </w:numPr>
        <w:tabs>
          <w:tab w:val="left" w:pos="2481"/>
        </w:tabs>
        <w:spacing w:before="182" w:after="0" w:line="240" w:lineRule="auto"/>
        <w:ind w:left="2480" w:right="0" w:hanging="201"/>
        <w:jc w:val="left"/>
        <w:rPr>
          <w:sz w:val="24"/>
        </w:rPr>
      </w:pPr>
      <w:r>
        <w:rPr>
          <w:sz w:val="24"/>
        </w:rPr>
        <w:t>具有合理的商业目的，且不以减少、免除或者推迟缴纳税款为主要目的。</w:t>
      </w:r>
    </w:p>
    <w:p>
      <w:pPr>
        <w:pStyle w:val="8"/>
        <w:numPr>
          <w:ilvl w:val="0"/>
          <w:numId w:val="17"/>
        </w:numPr>
        <w:tabs>
          <w:tab w:val="left" w:pos="2481"/>
        </w:tabs>
        <w:spacing w:before="181" w:after="0" w:line="240" w:lineRule="auto"/>
        <w:ind w:left="2480" w:right="0" w:hanging="201"/>
        <w:jc w:val="left"/>
        <w:rPr>
          <w:sz w:val="24"/>
        </w:rPr>
      </w:pPr>
      <w:r>
        <w:rPr>
          <w:spacing w:val="-2"/>
          <w:sz w:val="24"/>
        </w:rPr>
        <w:t xml:space="preserve">企业重组后的连续 </w:t>
      </w:r>
      <w:r>
        <w:rPr>
          <w:sz w:val="24"/>
        </w:rPr>
        <w:t>12</w:t>
      </w:r>
      <w:r>
        <w:rPr>
          <w:spacing w:val="-3"/>
          <w:sz w:val="24"/>
        </w:rPr>
        <w:t xml:space="preserve"> 个月内不改变重组资产原来的实质性经营活动。</w:t>
      </w:r>
    </w:p>
    <w:p>
      <w:pPr>
        <w:spacing w:before="182"/>
        <w:ind w:left="2280" w:right="0" w:firstLine="0"/>
        <w:jc w:val="left"/>
        <w:rPr>
          <w:rFonts w:hint="eastAsia" w:ascii="微软雅黑" w:eastAsia="微软雅黑"/>
          <w:b/>
          <w:sz w:val="24"/>
        </w:rPr>
      </w:pPr>
      <w:r>
        <w:rPr>
          <w:rFonts w:hint="eastAsia" w:ascii="微软雅黑" w:eastAsia="微软雅黑"/>
          <w:b/>
          <w:sz w:val="24"/>
        </w:rPr>
        <w:t>【备查资料】【备案资料】</w:t>
      </w:r>
    </w:p>
    <w:p>
      <w:pPr>
        <w:pStyle w:val="8"/>
        <w:numPr>
          <w:ilvl w:val="0"/>
          <w:numId w:val="18"/>
        </w:numPr>
        <w:tabs>
          <w:tab w:val="left" w:pos="2481"/>
        </w:tabs>
        <w:spacing w:before="181" w:after="0" w:line="240" w:lineRule="auto"/>
        <w:ind w:left="2480" w:right="0" w:hanging="201"/>
        <w:jc w:val="left"/>
        <w:rPr>
          <w:sz w:val="24"/>
        </w:rPr>
      </w:pPr>
      <w:r>
        <w:rPr>
          <w:sz w:val="24"/>
        </w:rPr>
        <w:t>适用一般性税务处理的留存备查资料</w:t>
      </w:r>
    </w:p>
    <w:p>
      <w:pPr>
        <w:pStyle w:val="8"/>
        <w:numPr>
          <w:ilvl w:val="0"/>
          <w:numId w:val="19"/>
        </w:numPr>
        <w:tabs>
          <w:tab w:val="left" w:pos="2903"/>
        </w:tabs>
        <w:spacing w:before="182" w:after="0" w:line="338" w:lineRule="auto"/>
        <w:ind w:left="1800" w:right="1797" w:firstLine="480"/>
        <w:jc w:val="left"/>
        <w:rPr>
          <w:sz w:val="24"/>
        </w:rPr>
      </w:pPr>
      <w:r>
        <w:rPr>
          <w:spacing w:val="-1"/>
          <w:sz w:val="24"/>
        </w:rPr>
        <w:t>以非货币资产清偿债务的，应保留当事各方签订的清偿债务的协议或</w:t>
      </w:r>
      <w:r>
        <w:rPr>
          <w:sz w:val="24"/>
        </w:rPr>
        <w:t>合同，以及非货币资产公允价格确认的合法证据等。</w:t>
      </w:r>
    </w:p>
    <w:p>
      <w:pPr>
        <w:pStyle w:val="8"/>
        <w:numPr>
          <w:ilvl w:val="0"/>
          <w:numId w:val="19"/>
        </w:numPr>
        <w:tabs>
          <w:tab w:val="left" w:pos="2901"/>
        </w:tabs>
        <w:spacing w:before="0" w:after="0" w:line="240" w:lineRule="auto"/>
        <w:ind w:left="2900" w:right="0" w:hanging="621"/>
        <w:jc w:val="left"/>
        <w:rPr>
          <w:sz w:val="24"/>
        </w:rPr>
      </w:pPr>
      <w:r>
        <w:rPr>
          <w:sz w:val="24"/>
        </w:rPr>
        <w:t>债权转股权的，应保留当事各方签订的债权转股权协议或合同。</w:t>
      </w:r>
    </w:p>
    <w:p>
      <w:pPr>
        <w:pStyle w:val="8"/>
        <w:numPr>
          <w:ilvl w:val="0"/>
          <w:numId w:val="19"/>
        </w:numPr>
        <w:tabs>
          <w:tab w:val="left" w:pos="2903"/>
        </w:tabs>
        <w:spacing w:before="182" w:after="0" w:line="338" w:lineRule="auto"/>
        <w:ind w:left="1800" w:right="1797" w:firstLine="480"/>
        <w:jc w:val="both"/>
        <w:rPr>
          <w:sz w:val="24"/>
        </w:rPr>
      </w:pPr>
      <w:r>
        <w:pict>
          <v:shape id="_x0000_s1046" o:spid="_x0000_s1046" o:spt="136" type="#_x0000_t136" style="position:absolute;left:0pt;margin-left:41.25pt;margin-top:32.6pt;height:132pt;width:528.05pt;mso-position-horizontal-relative:page;rotation:20643840f;z-index:-251635712;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sz w:val="24"/>
        </w:rPr>
        <w:t>此外，企业（债权人）</w:t>
      </w:r>
      <w:r>
        <w:rPr>
          <w:spacing w:val="-1"/>
          <w:sz w:val="24"/>
        </w:rPr>
        <w:t>与债务人达成债务重组协议后，无法收回的应</w:t>
      </w:r>
      <w:r>
        <w:rPr>
          <w:spacing w:val="-11"/>
          <w:sz w:val="24"/>
        </w:rPr>
        <w:t>收、预付款项，可以作为坏账损失在计算应纳税所得额时扣除，确认损失的证据</w:t>
      </w:r>
      <w:r>
        <w:rPr>
          <w:sz w:val="24"/>
        </w:rPr>
        <w:t>材料包括债务重组协议、债务人重组收益纳税情况说明等。</w:t>
      </w:r>
    </w:p>
    <w:p>
      <w:pPr>
        <w:pStyle w:val="8"/>
        <w:numPr>
          <w:ilvl w:val="0"/>
          <w:numId w:val="18"/>
        </w:numPr>
        <w:tabs>
          <w:tab w:val="left" w:pos="2481"/>
        </w:tabs>
        <w:spacing w:before="1" w:after="0" w:line="240" w:lineRule="auto"/>
        <w:ind w:left="2480" w:right="0" w:hanging="201"/>
        <w:jc w:val="left"/>
        <w:rPr>
          <w:sz w:val="24"/>
        </w:rPr>
      </w:pPr>
      <w:r>
        <w:rPr>
          <w:sz w:val="24"/>
        </w:rPr>
        <w:t>适用特殊性税务处理应报送的资料</w:t>
      </w:r>
    </w:p>
    <w:p>
      <w:pPr>
        <w:pStyle w:val="8"/>
        <w:numPr>
          <w:ilvl w:val="0"/>
          <w:numId w:val="20"/>
        </w:numPr>
        <w:tabs>
          <w:tab w:val="left" w:pos="2901"/>
        </w:tabs>
        <w:spacing w:before="181" w:after="0" w:line="240" w:lineRule="auto"/>
        <w:ind w:left="2900" w:right="0" w:hanging="621"/>
        <w:jc w:val="left"/>
        <w:rPr>
          <w:sz w:val="24"/>
        </w:rPr>
      </w:pPr>
      <w:r>
        <w:rPr>
          <w:sz w:val="24"/>
        </w:rPr>
        <w:t>基本资料</w:t>
      </w:r>
    </w:p>
    <w:p>
      <w:pPr>
        <w:pStyle w:val="3"/>
        <w:spacing w:before="182" w:line="338" w:lineRule="auto"/>
        <w:ind w:right="1797" w:firstLine="480"/>
        <w:jc w:val="both"/>
        <w:rPr>
          <w:rFonts w:hint="eastAsia" w:ascii="微软雅黑" w:hAnsi="微软雅黑" w:eastAsia="微软雅黑"/>
        </w:rPr>
      </w:pPr>
      <w:r>
        <w:rPr>
          <w:rFonts w:hint="eastAsia" w:ascii="微软雅黑" w:hAnsi="微软雅黑" w:eastAsia="微软雅黑"/>
          <w:spacing w:val="-6"/>
        </w:rPr>
        <w:t>①重组各方应在该重组业务完成当年，办理企业所得税年度申报时，分别向</w:t>
      </w:r>
      <w:r>
        <w:rPr>
          <w:rFonts w:hint="eastAsia" w:ascii="微软雅黑" w:hAnsi="微软雅黑" w:eastAsia="微软雅黑"/>
          <w:spacing w:val="-8"/>
        </w:rPr>
        <w:t>各自主管税务机关报送《企业重组所得税特殊性税务处理报告表及附表》和其他</w:t>
      </w:r>
      <w:r>
        <w:rPr>
          <w:rFonts w:hint="eastAsia" w:ascii="微软雅黑" w:hAnsi="微软雅黑" w:eastAsia="微软雅黑"/>
          <w:spacing w:val="-10"/>
        </w:rPr>
        <w:t>申报资料。重组主导方申报后，其他当事方向其主管税务机关办理纳税申报。申</w:t>
      </w:r>
      <w:r>
        <w:rPr>
          <w:rFonts w:hint="eastAsia" w:ascii="微软雅黑" w:hAnsi="微软雅黑" w:eastAsia="微软雅黑"/>
          <w:spacing w:val="-6"/>
        </w:rPr>
        <w:t>报时还应附送重组主导方经主管税务机关受理的《企业重组所得税特殊性税务处</w:t>
      </w:r>
      <w:r>
        <w:rPr>
          <w:rFonts w:hint="eastAsia" w:ascii="微软雅黑" w:hAnsi="微软雅黑" w:eastAsia="微软雅黑"/>
        </w:rPr>
        <w:t>理报告表及附表》（复印件）。</w:t>
      </w:r>
    </w:p>
    <w:p>
      <w:pPr>
        <w:pStyle w:val="3"/>
        <w:spacing w:line="338" w:lineRule="auto"/>
        <w:ind w:right="1797" w:firstLine="480"/>
        <w:jc w:val="both"/>
        <w:rPr>
          <w:rFonts w:hint="eastAsia" w:ascii="微软雅黑" w:hAnsi="微软雅黑" w:eastAsia="微软雅黑"/>
        </w:rPr>
      </w:pPr>
      <w:r>
        <w:rPr>
          <w:rFonts w:hint="eastAsia" w:ascii="微软雅黑" w:hAnsi="微软雅黑" w:eastAsia="微软雅黑"/>
          <w:spacing w:val="-5"/>
        </w:rPr>
        <w:t>②当事各方应在完成重组业务后的下一年度的企业所得税年度申报时，向主</w:t>
      </w:r>
      <w:r>
        <w:rPr>
          <w:rFonts w:hint="eastAsia" w:ascii="微软雅黑" w:hAnsi="微软雅黑" w:eastAsia="微软雅黑"/>
          <w:spacing w:val="-2"/>
        </w:rPr>
        <w:t xml:space="preserve">管税务机关提交书面情况说明，以证明企业在重组后的连续 </w:t>
      </w:r>
      <w:r>
        <w:rPr>
          <w:rFonts w:hint="eastAsia" w:ascii="微软雅黑" w:hAnsi="微软雅黑" w:eastAsia="微软雅黑"/>
        </w:rPr>
        <w:t>12</w:t>
      </w:r>
      <w:r>
        <w:rPr>
          <w:rFonts w:hint="eastAsia" w:ascii="微软雅黑" w:hAnsi="微软雅黑" w:eastAsia="微软雅黑"/>
          <w:spacing w:val="-7"/>
        </w:rPr>
        <w:t xml:space="preserve"> 个月内，有关符</w:t>
      </w:r>
      <w:r>
        <w:rPr>
          <w:rFonts w:hint="eastAsia" w:ascii="微软雅黑" w:hAnsi="微软雅黑" w:eastAsia="微软雅黑"/>
        </w:rPr>
        <w:t>合特殊性税务处理的条件未发生改变。</w:t>
      </w:r>
    </w:p>
    <w:p>
      <w:pPr>
        <w:spacing w:after="0" w:line="338" w:lineRule="auto"/>
        <w:jc w:val="both"/>
        <w:rPr>
          <w:rFonts w:hint="eastAsia" w:ascii="微软雅黑" w:hAnsi="微软雅黑" w:eastAsia="微软雅黑"/>
        </w:rPr>
        <w:sectPr>
          <w:pgSz w:w="11910" w:h="16840"/>
          <w:pgMar w:top="1540" w:right="0" w:bottom="1380" w:left="0" w:header="965" w:footer="1182" w:gutter="0"/>
          <w:cols w:space="720" w:num="1"/>
        </w:sectPr>
      </w:pPr>
    </w:p>
    <w:p>
      <w:pPr>
        <w:pStyle w:val="3"/>
        <w:spacing w:before="11"/>
        <w:ind w:left="0"/>
        <w:rPr>
          <w:rFonts w:ascii="微软雅黑"/>
          <w:sz w:val="10"/>
        </w:rPr>
      </w:pPr>
    </w:p>
    <w:p>
      <w:pPr>
        <w:pStyle w:val="3"/>
        <w:spacing w:before="37" w:line="338" w:lineRule="auto"/>
        <w:ind w:right="1797" w:firstLine="480"/>
        <w:jc w:val="both"/>
        <w:rPr>
          <w:rFonts w:hint="eastAsia" w:ascii="微软雅黑" w:hAnsi="微软雅黑" w:eastAsia="微软雅黑"/>
        </w:rPr>
      </w:pPr>
      <w:r>
        <w:rPr>
          <w:rFonts w:hint="eastAsia" w:ascii="微软雅黑" w:hAnsi="微软雅黑" w:eastAsia="微软雅黑"/>
          <w:spacing w:val="-6"/>
        </w:rPr>
        <w:t>③企业重组业务适用特殊性税务处理的，申报时，当事各方还应向主管税务</w:t>
      </w:r>
      <w:r>
        <w:rPr>
          <w:rFonts w:hint="eastAsia" w:ascii="微软雅黑" w:hAnsi="微软雅黑" w:eastAsia="微软雅黑"/>
          <w:spacing w:val="-2"/>
        </w:rPr>
        <w:t xml:space="preserve">机关提交重组前连续 </w:t>
      </w:r>
      <w:r>
        <w:rPr>
          <w:rFonts w:hint="eastAsia" w:ascii="微软雅黑" w:hAnsi="微软雅黑" w:eastAsia="微软雅黑"/>
        </w:rPr>
        <w:t>12</w:t>
      </w:r>
      <w:r>
        <w:rPr>
          <w:rFonts w:hint="eastAsia" w:ascii="微软雅黑" w:hAnsi="微软雅黑" w:eastAsia="微软雅黑"/>
          <w:spacing w:val="-5"/>
        </w:rPr>
        <w:t xml:space="preserve"> 个月内有无与该重组相关的其他股权、资产交易情况的</w:t>
      </w:r>
      <w:r>
        <w:rPr>
          <w:rFonts w:hint="eastAsia" w:ascii="微软雅黑" w:hAnsi="微软雅黑" w:eastAsia="微软雅黑"/>
          <w:spacing w:val="-10"/>
        </w:rPr>
        <w:t>说明，并说明这些交易与该重组是否构成分步交易，是否作为一项企业重组业务</w:t>
      </w:r>
      <w:r>
        <w:rPr>
          <w:rFonts w:hint="eastAsia" w:ascii="微软雅黑" w:hAnsi="微软雅黑" w:eastAsia="微软雅黑"/>
        </w:rPr>
        <w:t>进行处理。</w:t>
      </w:r>
    </w:p>
    <w:p>
      <w:pPr>
        <w:pStyle w:val="8"/>
        <w:numPr>
          <w:ilvl w:val="0"/>
          <w:numId w:val="20"/>
        </w:numPr>
        <w:tabs>
          <w:tab w:val="left" w:pos="2901"/>
        </w:tabs>
        <w:spacing w:before="1" w:after="0" w:line="240" w:lineRule="auto"/>
        <w:ind w:left="2900" w:right="0" w:hanging="621"/>
        <w:jc w:val="left"/>
        <w:rPr>
          <w:sz w:val="24"/>
        </w:rPr>
      </w:pPr>
      <w:r>
        <w:rPr>
          <w:sz w:val="24"/>
        </w:rPr>
        <w:t>其他申报资料</w:t>
      </w:r>
    </w:p>
    <w:p>
      <w:pPr>
        <w:pStyle w:val="3"/>
        <w:spacing w:before="181" w:line="338" w:lineRule="auto"/>
        <w:ind w:right="1677" w:firstLine="480"/>
        <w:rPr>
          <w:rFonts w:hint="eastAsia" w:ascii="微软雅黑" w:hAnsi="微软雅黑" w:eastAsia="微软雅黑"/>
        </w:rPr>
      </w:pPr>
      <w:r>
        <w:rPr>
          <w:rFonts w:hint="eastAsia" w:ascii="微软雅黑" w:hAnsi="微软雅黑" w:eastAsia="微软雅黑"/>
          <w:spacing w:val="-6"/>
        </w:rPr>
        <w:t>①债务重组的总体情况说明，包括债务重组方案、基本情况、债务重组所产</w:t>
      </w:r>
      <w:r>
        <w:rPr>
          <w:rFonts w:hint="eastAsia" w:ascii="微软雅黑" w:hAnsi="微软雅黑" w:eastAsia="微软雅黑"/>
          <w:spacing w:val="-17"/>
        </w:rPr>
        <w:t xml:space="preserve">生的应纳税所得额，并逐条说明债务重组的商业目的；以非货币资产清偿债务的， </w:t>
      </w:r>
      <w:r>
        <w:rPr>
          <w:rFonts w:hint="eastAsia" w:ascii="微软雅黑" w:hAnsi="微软雅黑" w:eastAsia="微软雅黑"/>
        </w:rPr>
        <w:t>还应包括企业当年应纳税所得额情况；</w:t>
      </w:r>
    </w:p>
    <w:p>
      <w:pPr>
        <w:pStyle w:val="3"/>
        <w:spacing w:line="338" w:lineRule="auto"/>
        <w:ind w:right="1797" w:firstLine="480"/>
        <w:rPr>
          <w:rFonts w:hint="eastAsia" w:ascii="微软雅黑" w:hAnsi="微软雅黑" w:eastAsia="微软雅黑"/>
        </w:rPr>
      </w:pPr>
      <w:r>
        <w:pict>
          <v:shape id="_x0000_s1047" o:spid="_x0000_s1047" o:spt="136" type="#_x0000_t136" style="position:absolute;left:0pt;margin-left:41.25pt;margin-top:23.55pt;height:132pt;width:528.05pt;mso-position-horizontal-relative:page;rotation:20643840f;z-index:-251634688;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hAnsi="微软雅黑" w:eastAsia="微软雅黑"/>
          <w:spacing w:val="-2"/>
        </w:rPr>
        <w:t>②清偿债务或债权转股权的合同</w:t>
      </w:r>
      <w:r>
        <w:rPr>
          <w:rFonts w:hint="eastAsia" w:ascii="微软雅黑" w:hAnsi="微软雅黑" w:eastAsia="微软雅黑"/>
        </w:rPr>
        <w:t>（协议</w:t>
      </w:r>
      <w:r>
        <w:rPr>
          <w:rFonts w:hint="eastAsia" w:ascii="微软雅黑" w:hAnsi="微软雅黑" w:eastAsia="微软雅黑"/>
          <w:spacing w:val="-22"/>
        </w:rPr>
        <w:t>）</w:t>
      </w:r>
      <w:r>
        <w:rPr>
          <w:rFonts w:hint="eastAsia" w:ascii="微软雅黑" w:hAnsi="微软雅黑" w:eastAsia="微软雅黑"/>
          <w:spacing w:val="-6"/>
        </w:rPr>
        <w:t>或法院裁定书，需有权部门</w:t>
      </w:r>
      <w:r>
        <w:rPr>
          <w:rFonts w:hint="eastAsia" w:ascii="微软雅黑" w:hAnsi="微软雅黑" w:eastAsia="微软雅黑"/>
          <w:spacing w:val="-3"/>
        </w:rPr>
        <w:t>（</w:t>
      </w:r>
      <w:r>
        <w:rPr>
          <w:rFonts w:hint="eastAsia" w:ascii="微软雅黑" w:hAnsi="微软雅黑" w:eastAsia="微软雅黑"/>
          <w:spacing w:val="-8"/>
        </w:rPr>
        <w:t>包括</w:t>
      </w:r>
      <w:r>
        <w:rPr>
          <w:rFonts w:hint="eastAsia" w:ascii="微软雅黑" w:hAnsi="微软雅黑" w:eastAsia="微软雅黑"/>
        </w:rPr>
        <w:t>内部和外部）批准的，应提供批准文件；</w:t>
      </w:r>
    </w:p>
    <w:p>
      <w:pPr>
        <w:pStyle w:val="3"/>
        <w:spacing w:line="338" w:lineRule="auto"/>
        <w:ind w:right="1797" w:firstLine="480"/>
        <w:rPr>
          <w:rFonts w:hint="eastAsia" w:ascii="微软雅黑" w:hAnsi="微软雅黑" w:eastAsia="微软雅黑"/>
        </w:rPr>
      </w:pPr>
      <w:r>
        <w:rPr>
          <w:rFonts w:hint="eastAsia" w:ascii="微软雅黑" w:hAnsi="微软雅黑" w:eastAsia="微软雅黑"/>
          <w:spacing w:val="-9"/>
        </w:rPr>
        <w:t>③债权转股权的，提供相关股权评估报告或其他公允价值证明；以非货币资</w:t>
      </w:r>
      <w:r>
        <w:rPr>
          <w:rFonts w:hint="eastAsia" w:ascii="微软雅黑" w:hAnsi="微软雅黑" w:eastAsia="微软雅黑"/>
        </w:rPr>
        <w:t>产清偿债务的，提供相关资产评估报告或其他公允价值证明；</w:t>
      </w:r>
    </w:p>
    <w:p>
      <w:pPr>
        <w:pStyle w:val="3"/>
        <w:spacing w:before="0" w:line="338" w:lineRule="auto"/>
        <w:ind w:right="1795" w:firstLine="480"/>
        <w:rPr>
          <w:rFonts w:hint="eastAsia" w:ascii="微软雅黑" w:hAnsi="微软雅黑" w:eastAsia="微软雅黑"/>
        </w:rPr>
      </w:pPr>
      <w:r>
        <w:rPr>
          <w:rFonts w:hint="eastAsia" w:ascii="微软雅黑" w:hAnsi="微软雅黑" w:eastAsia="微软雅黑"/>
          <w:spacing w:val="-2"/>
        </w:rPr>
        <w:t xml:space="preserve">④重组前连续 </w:t>
      </w:r>
      <w:r>
        <w:rPr>
          <w:rFonts w:hint="eastAsia" w:ascii="微软雅黑" w:hAnsi="微软雅黑" w:eastAsia="微软雅黑"/>
        </w:rPr>
        <w:t>12</w:t>
      </w:r>
      <w:r>
        <w:rPr>
          <w:rFonts w:hint="eastAsia" w:ascii="微软雅黑" w:hAnsi="微软雅黑" w:eastAsia="微软雅黑"/>
          <w:spacing w:val="-8"/>
        </w:rPr>
        <w:t xml:space="preserve"> 个月内有无与该重组相关的其他股权、资产交易,与该重组</w:t>
      </w:r>
      <w:r>
        <w:rPr>
          <w:rFonts w:hint="eastAsia" w:ascii="微软雅黑" w:hAnsi="微软雅黑" w:eastAsia="微软雅黑"/>
        </w:rPr>
        <w:t>是否构成分步交易、是否作为一项企业重组业务进行处理情况的说明；</w:t>
      </w:r>
    </w:p>
    <w:p>
      <w:pPr>
        <w:pStyle w:val="3"/>
        <w:ind w:left="2280"/>
        <w:rPr>
          <w:rFonts w:hint="eastAsia" w:ascii="微软雅黑" w:hAnsi="微软雅黑" w:eastAsia="微软雅黑"/>
        </w:rPr>
      </w:pPr>
      <w:r>
        <w:rPr>
          <w:rFonts w:hint="eastAsia" w:ascii="微软雅黑" w:hAnsi="微软雅黑" w:eastAsia="微软雅黑"/>
        </w:rPr>
        <w:t>⑤重组当事各方一致选择特殊性税务处理并加盖当事各方公章的证明资料；</w:t>
      </w:r>
    </w:p>
    <w:p>
      <w:pPr>
        <w:pStyle w:val="3"/>
        <w:spacing w:before="181" w:line="338" w:lineRule="auto"/>
        <w:ind w:right="1797" w:firstLine="480"/>
        <w:jc w:val="both"/>
        <w:rPr>
          <w:rFonts w:hint="eastAsia" w:ascii="微软雅黑" w:hAnsi="微软雅黑" w:eastAsia="微软雅黑"/>
        </w:rPr>
      </w:pPr>
      <w:r>
        <w:rPr>
          <w:rFonts w:hint="eastAsia" w:ascii="微软雅黑" w:hAnsi="微软雅黑" w:eastAsia="微软雅黑"/>
          <w:spacing w:val="-11"/>
        </w:rPr>
        <w:t>⑥债权转股权的，还应提供工商管理部门等有权机关登记的相关企业股权变</w:t>
      </w:r>
      <w:r>
        <w:rPr>
          <w:rFonts w:hint="eastAsia" w:ascii="微软雅黑" w:hAnsi="微软雅黑" w:eastAsia="微软雅黑"/>
          <w:spacing w:val="-1"/>
        </w:rPr>
        <w:t xml:space="preserve">更事项的证明材料，以及债权人 </w:t>
      </w:r>
      <w:r>
        <w:rPr>
          <w:rFonts w:hint="eastAsia" w:ascii="微软雅黑" w:hAnsi="微软雅黑" w:eastAsia="微软雅黑"/>
        </w:rPr>
        <w:t>12</w:t>
      </w:r>
      <w:r>
        <w:rPr>
          <w:rFonts w:hint="eastAsia" w:ascii="微软雅黑" w:hAnsi="微软雅黑" w:eastAsia="微软雅黑"/>
          <w:spacing w:val="-4"/>
        </w:rPr>
        <w:t xml:space="preserve"> 个月内不转让所取得股权的承诺书；</w:t>
      </w:r>
    </w:p>
    <w:p>
      <w:pPr>
        <w:pStyle w:val="3"/>
        <w:spacing w:line="338" w:lineRule="auto"/>
        <w:ind w:right="1797" w:firstLine="480"/>
        <w:jc w:val="both"/>
        <w:rPr>
          <w:rFonts w:hint="eastAsia" w:ascii="微软雅黑" w:hAnsi="微软雅黑" w:eastAsia="微软雅黑"/>
        </w:rPr>
      </w:pPr>
      <w:r>
        <w:rPr>
          <w:rFonts w:hint="eastAsia" w:ascii="微软雅黑" w:hAnsi="微软雅黑" w:eastAsia="微软雅黑"/>
          <w:spacing w:val="-3"/>
        </w:rPr>
        <w:t>⑦按会计准则规定当期应确认资产</w:t>
      </w:r>
      <w:r>
        <w:rPr>
          <w:rFonts w:hint="eastAsia" w:ascii="微软雅黑" w:hAnsi="微软雅黑" w:eastAsia="微软雅黑"/>
        </w:rPr>
        <w:t>（股权</w:t>
      </w:r>
      <w:r>
        <w:rPr>
          <w:rFonts w:hint="eastAsia" w:ascii="微软雅黑" w:hAnsi="微软雅黑" w:eastAsia="微软雅黑"/>
          <w:spacing w:val="-32"/>
        </w:rPr>
        <w:t>）</w:t>
      </w:r>
      <w:r>
        <w:rPr>
          <w:rFonts w:hint="eastAsia" w:ascii="微软雅黑" w:hAnsi="微软雅黑" w:eastAsia="微软雅黑"/>
          <w:spacing w:val="-7"/>
        </w:rPr>
        <w:t>转让损益的，应提供按税法规定</w:t>
      </w:r>
      <w:r>
        <w:rPr>
          <w:rFonts w:hint="eastAsia" w:ascii="微软雅黑" w:hAnsi="微软雅黑" w:eastAsia="微软雅黑"/>
          <w:spacing w:val="-5"/>
        </w:rPr>
        <w:t>核算的资产</w:t>
      </w:r>
      <w:r>
        <w:rPr>
          <w:rFonts w:hint="eastAsia" w:ascii="微软雅黑" w:hAnsi="微软雅黑" w:eastAsia="微软雅黑"/>
        </w:rPr>
        <w:t>（股权</w:t>
      </w:r>
      <w:r>
        <w:rPr>
          <w:rFonts w:hint="eastAsia" w:ascii="微软雅黑" w:hAnsi="微软雅黑" w:eastAsia="微软雅黑"/>
          <w:spacing w:val="-24"/>
        </w:rPr>
        <w:t>）</w:t>
      </w:r>
      <w:r>
        <w:rPr>
          <w:rFonts w:hint="eastAsia" w:ascii="微软雅黑" w:hAnsi="微软雅黑" w:eastAsia="微软雅黑"/>
          <w:spacing w:val="-2"/>
        </w:rPr>
        <w:t>计税基础与按会计准则规定核算的相关资产</w:t>
      </w:r>
      <w:r>
        <w:rPr>
          <w:rFonts w:hint="eastAsia" w:ascii="微软雅黑" w:hAnsi="微软雅黑" w:eastAsia="微软雅黑"/>
        </w:rPr>
        <w:t>（股权</w:t>
      </w:r>
      <w:r>
        <w:rPr>
          <w:rFonts w:hint="eastAsia" w:ascii="微软雅黑" w:hAnsi="微软雅黑" w:eastAsia="微软雅黑"/>
          <w:spacing w:val="-25"/>
        </w:rPr>
        <w:t>）</w:t>
      </w:r>
      <w:r>
        <w:rPr>
          <w:rFonts w:hint="eastAsia" w:ascii="微软雅黑" w:hAnsi="微软雅黑" w:eastAsia="微软雅黑"/>
          <w:spacing w:val="-6"/>
        </w:rPr>
        <w:t>账面价</w:t>
      </w:r>
      <w:r>
        <w:rPr>
          <w:rFonts w:hint="eastAsia" w:ascii="微软雅黑" w:hAnsi="微软雅黑" w:eastAsia="微软雅黑"/>
        </w:rPr>
        <w:t>值的暂时性差异专项说明。</w:t>
      </w:r>
    </w:p>
    <w:p>
      <w:pPr>
        <w:spacing w:before="0"/>
        <w:ind w:left="2280" w:right="0" w:firstLine="0"/>
        <w:jc w:val="left"/>
        <w:rPr>
          <w:rFonts w:hint="eastAsia" w:ascii="微软雅黑" w:eastAsia="微软雅黑"/>
          <w:b/>
          <w:sz w:val="24"/>
        </w:rPr>
      </w:pPr>
      <w:r>
        <w:rPr>
          <w:rFonts w:hint="eastAsia" w:ascii="微软雅黑" w:eastAsia="微软雅黑"/>
          <w:b/>
          <w:sz w:val="24"/>
        </w:rPr>
        <w:t>【政策依据】</w:t>
      </w:r>
    </w:p>
    <w:p>
      <w:pPr>
        <w:pStyle w:val="8"/>
        <w:numPr>
          <w:ilvl w:val="0"/>
          <w:numId w:val="21"/>
        </w:numPr>
        <w:tabs>
          <w:tab w:val="left" w:pos="2481"/>
        </w:tabs>
        <w:spacing w:before="182" w:after="0" w:line="240" w:lineRule="auto"/>
        <w:ind w:left="2480" w:right="0" w:hanging="201"/>
        <w:jc w:val="left"/>
        <w:rPr>
          <w:sz w:val="24"/>
        </w:rPr>
      </w:pPr>
      <w:r>
        <w:fldChar w:fldCharType="begin"/>
      </w:r>
      <w:r>
        <w:instrText xml:space="preserve"> HYPERLINK \l "_bookmark16" </w:instrText>
      </w:r>
      <w:r>
        <w:fldChar w:fldCharType="separate"/>
      </w:r>
      <w:r>
        <w:rPr>
          <w:color w:val="0000FF"/>
          <w:sz w:val="24"/>
          <w:u w:val="single" w:color="0000FF"/>
        </w:rPr>
        <w:t>《中华人民共和国企业所得税法》第二十条</w:t>
      </w:r>
      <w:r>
        <w:rPr>
          <w:color w:val="0000FF"/>
          <w:sz w:val="24"/>
          <w:u w:val="single" w:color="0000FF"/>
        </w:rPr>
        <w:fldChar w:fldCharType="end"/>
      </w:r>
    </w:p>
    <w:p>
      <w:pPr>
        <w:spacing w:after="0" w:line="240" w:lineRule="auto"/>
        <w:jc w:val="left"/>
        <w:rPr>
          <w:sz w:val="24"/>
        </w:rPr>
        <w:sectPr>
          <w:pgSz w:w="11910" w:h="16840"/>
          <w:pgMar w:top="1540" w:right="0" w:bottom="1380" w:left="0" w:header="965" w:footer="1182" w:gutter="0"/>
          <w:cols w:space="720" w:num="1"/>
        </w:sectPr>
      </w:pPr>
    </w:p>
    <w:p>
      <w:pPr>
        <w:pStyle w:val="3"/>
        <w:spacing w:before="11"/>
        <w:ind w:left="0"/>
        <w:rPr>
          <w:rFonts w:ascii="微软雅黑"/>
          <w:sz w:val="10"/>
        </w:rPr>
      </w:pPr>
    </w:p>
    <w:p>
      <w:pPr>
        <w:pStyle w:val="8"/>
        <w:numPr>
          <w:ilvl w:val="0"/>
          <w:numId w:val="21"/>
        </w:numPr>
        <w:tabs>
          <w:tab w:val="left" w:pos="2481"/>
        </w:tabs>
        <w:spacing w:before="37" w:after="0" w:line="240" w:lineRule="auto"/>
        <w:ind w:left="2480" w:right="0" w:hanging="201"/>
        <w:jc w:val="left"/>
        <w:rPr>
          <w:sz w:val="24"/>
        </w:rPr>
      </w:pPr>
      <w:r>
        <w:fldChar w:fldCharType="begin"/>
      </w:r>
      <w:r>
        <w:instrText xml:space="preserve"> HYPERLINK \l "_bookmark17" </w:instrText>
      </w:r>
      <w:r>
        <w:fldChar w:fldCharType="separate"/>
      </w:r>
      <w:r>
        <w:rPr>
          <w:color w:val="0000FF"/>
          <w:sz w:val="24"/>
          <w:u w:val="single" w:color="0000FF"/>
        </w:rPr>
        <w:t>《中华人民共和国企业所得税法实施条例》第七十五条</w:t>
      </w:r>
      <w:r>
        <w:rPr>
          <w:color w:val="0000FF"/>
          <w:sz w:val="24"/>
          <w:u w:val="single" w:color="0000FF"/>
        </w:rPr>
        <w:fldChar w:fldCharType="end"/>
      </w:r>
    </w:p>
    <w:p>
      <w:pPr>
        <w:pStyle w:val="8"/>
        <w:numPr>
          <w:ilvl w:val="0"/>
          <w:numId w:val="21"/>
        </w:numPr>
        <w:tabs>
          <w:tab w:val="left" w:pos="2484"/>
        </w:tabs>
        <w:spacing w:before="182" w:after="0" w:line="338" w:lineRule="auto"/>
        <w:ind w:left="1800" w:right="1797" w:firstLine="480"/>
        <w:jc w:val="left"/>
        <w:rPr>
          <w:sz w:val="24"/>
        </w:rPr>
      </w:pPr>
      <w:r>
        <w:fldChar w:fldCharType="begin"/>
      </w:r>
      <w:r>
        <w:instrText xml:space="preserve"> HYPERLINK \l "_bookmark18" </w:instrText>
      </w:r>
      <w:r>
        <w:fldChar w:fldCharType="separate"/>
      </w:r>
      <w:r>
        <w:rPr>
          <w:color w:val="0000FF"/>
          <w:spacing w:val="7"/>
          <w:sz w:val="24"/>
          <w:u w:val="single" w:color="0000FF"/>
        </w:rPr>
        <w:t>《</w:t>
      </w:r>
      <w:r>
        <w:rPr>
          <w:color w:val="0000FF"/>
          <w:spacing w:val="7"/>
          <w:sz w:val="24"/>
          <w:u w:val="single" w:color="0000FF"/>
        </w:rPr>
        <w:fldChar w:fldCharType="end"/>
      </w:r>
      <w:r>
        <w:fldChar w:fldCharType="begin"/>
      </w:r>
      <w:r>
        <w:instrText xml:space="preserve"> HYPERLINK \l "_bookmark18" </w:instrText>
      </w:r>
      <w:r>
        <w:fldChar w:fldCharType="separate"/>
      </w:r>
      <w:r>
        <w:rPr>
          <w:color w:val="0000FF"/>
          <w:spacing w:val="3"/>
          <w:sz w:val="24"/>
          <w:u w:val="single" w:color="0000FF"/>
        </w:rPr>
        <w:t>财政部国家税务总局关于企业重组业务企业所得税处理若干问题的通</w:t>
      </w:r>
      <w:r>
        <w:rPr>
          <w:color w:val="0000FF"/>
          <w:spacing w:val="3"/>
          <w:sz w:val="24"/>
          <w:u w:val="single" w:color="0000FF"/>
        </w:rPr>
        <w:fldChar w:fldCharType="end"/>
      </w:r>
      <w:r>
        <w:rPr>
          <w:color w:val="0000FF"/>
          <w:spacing w:val="-231"/>
          <w:sz w:val="24"/>
          <w:u w:val="single" w:color="0000FF"/>
        </w:rPr>
        <w:t>知》</w:t>
      </w:r>
      <w:r>
        <w:rPr>
          <w:color w:val="0000FF"/>
          <w:sz w:val="24"/>
          <w:u w:val="single" w:color="0000FF"/>
        </w:rPr>
        <w:t>（财税〔2009〕59</w:t>
      </w:r>
      <w:r>
        <w:rPr>
          <w:color w:val="0000FF"/>
          <w:spacing w:val="-6"/>
          <w:sz w:val="24"/>
          <w:u w:val="single" w:color="0000FF"/>
        </w:rPr>
        <w:t xml:space="preserve"> 号</w:t>
      </w:r>
      <w:r>
        <w:rPr>
          <w:color w:val="0000FF"/>
          <w:sz w:val="24"/>
          <w:u w:val="single" w:color="0000FF"/>
        </w:rPr>
        <w:t>）</w:t>
      </w:r>
    </w:p>
    <w:p>
      <w:pPr>
        <w:pStyle w:val="8"/>
        <w:numPr>
          <w:ilvl w:val="0"/>
          <w:numId w:val="21"/>
        </w:numPr>
        <w:tabs>
          <w:tab w:val="left" w:pos="2481"/>
        </w:tabs>
        <w:spacing w:before="0" w:after="0" w:line="240" w:lineRule="auto"/>
        <w:ind w:left="2480" w:right="0" w:hanging="201"/>
        <w:jc w:val="left"/>
        <w:rPr>
          <w:sz w:val="24"/>
        </w:rPr>
      </w:pPr>
      <w:r>
        <w:fldChar w:fldCharType="begin"/>
      </w:r>
      <w:r>
        <w:instrText xml:space="preserve"> HYPERLINK \l "_bookmark19" </w:instrText>
      </w:r>
      <w:r>
        <w:fldChar w:fldCharType="separate"/>
      </w:r>
      <w:r>
        <w:rPr>
          <w:color w:val="0000FF"/>
          <w:sz w:val="24"/>
          <w:u w:val="single" w:color="0000FF"/>
        </w:rPr>
        <w:t>《</w:t>
      </w:r>
      <w:r>
        <w:rPr>
          <w:color w:val="0000FF"/>
          <w:sz w:val="24"/>
          <w:u w:val="single" w:color="0000FF"/>
        </w:rPr>
        <w:fldChar w:fldCharType="end"/>
      </w:r>
      <w:r>
        <w:fldChar w:fldCharType="begin"/>
      </w:r>
      <w:r>
        <w:instrText xml:space="preserve"> HYPERLINK \l "_bookmark19" </w:instrText>
      </w:r>
      <w:r>
        <w:fldChar w:fldCharType="separate"/>
      </w:r>
      <w:r>
        <w:rPr>
          <w:color w:val="0000FF"/>
          <w:sz w:val="24"/>
          <w:u w:val="single" w:color="0000FF"/>
        </w:rPr>
        <w:t>国家税务总局关于发布&lt;企业重组业务企业所得税管理办法&gt;的公告》</w:t>
      </w:r>
      <w:r>
        <w:rPr>
          <w:color w:val="0000FF"/>
          <w:sz w:val="24"/>
          <w:u w:val="single" w:color="0000FF"/>
        </w:rPr>
        <w:fldChar w:fldCharType="end"/>
      </w:r>
    </w:p>
    <w:p>
      <w:pPr>
        <w:pStyle w:val="3"/>
        <w:spacing w:before="182"/>
        <w:rPr>
          <w:rFonts w:hint="eastAsia" w:ascii="微软雅黑" w:eastAsia="微软雅黑"/>
        </w:rPr>
      </w:pPr>
      <w:r>
        <w:rPr>
          <w:rFonts w:hint="eastAsia" w:ascii="微软雅黑" w:eastAsia="微软雅黑"/>
          <w:color w:val="0000FF"/>
          <w:u w:val="single" w:color="0000FF"/>
        </w:rPr>
        <w:t>（国家税务总局公告 2010 年第 4 号）</w:t>
      </w:r>
    </w:p>
    <w:p>
      <w:pPr>
        <w:pStyle w:val="8"/>
        <w:numPr>
          <w:ilvl w:val="0"/>
          <w:numId w:val="21"/>
        </w:numPr>
        <w:tabs>
          <w:tab w:val="left" w:pos="2484"/>
        </w:tabs>
        <w:spacing w:before="181" w:after="0" w:line="338" w:lineRule="auto"/>
        <w:ind w:left="1800" w:right="1797" w:firstLine="480"/>
        <w:jc w:val="left"/>
        <w:rPr>
          <w:sz w:val="24"/>
        </w:rPr>
      </w:pPr>
      <w:r>
        <w:fldChar w:fldCharType="begin"/>
      </w:r>
      <w:r>
        <w:instrText xml:space="preserve"> HYPERLINK \l "_bookmark20" </w:instrText>
      </w:r>
      <w:r>
        <w:fldChar w:fldCharType="separate"/>
      </w:r>
      <w:r>
        <w:rPr>
          <w:color w:val="0000FF"/>
          <w:spacing w:val="7"/>
          <w:sz w:val="24"/>
          <w:u w:val="single" w:color="0000FF"/>
        </w:rPr>
        <w:t>《</w:t>
      </w:r>
      <w:r>
        <w:rPr>
          <w:color w:val="0000FF"/>
          <w:spacing w:val="7"/>
          <w:sz w:val="24"/>
          <w:u w:val="single" w:color="0000FF"/>
        </w:rPr>
        <w:fldChar w:fldCharType="end"/>
      </w:r>
      <w:r>
        <w:fldChar w:fldCharType="begin"/>
      </w:r>
      <w:r>
        <w:instrText xml:space="preserve"> HYPERLINK \l "_bookmark20" </w:instrText>
      </w:r>
      <w:r>
        <w:fldChar w:fldCharType="separate"/>
      </w:r>
      <w:r>
        <w:rPr>
          <w:color w:val="0000FF"/>
          <w:spacing w:val="3"/>
          <w:sz w:val="24"/>
          <w:u w:val="single" w:color="0000FF"/>
        </w:rPr>
        <w:t>财政部国家税务总局关于促进企业重组有关企业所得税处理问题的通</w:t>
      </w:r>
      <w:r>
        <w:rPr>
          <w:color w:val="0000FF"/>
          <w:spacing w:val="3"/>
          <w:sz w:val="24"/>
          <w:u w:val="single" w:color="0000FF"/>
        </w:rPr>
        <w:fldChar w:fldCharType="end"/>
      </w:r>
      <w:r>
        <w:rPr>
          <w:color w:val="0000FF"/>
          <w:spacing w:val="-231"/>
          <w:sz w:val="24"/>
          <w:u w:val="single" w:color="0000FF"/>
        </w:rPr>
        <w:t>知》</w:t>
      </w:r>
      <w:r>
        <w:rPr>
          <w:color w:val="0000FF"/>
          <w:sz w:val="24"/>
          <w:u w:val="single" w:color="0000FF"/>
        </w:rPr>
        <w:t>（财税〔2014〕109</w:t>
      </w:r>
      <w:r>
        <w:rPr>
          <w:color w:val="0000FF"/>
          <w:spacing w:val="-7"/>
          <w:sz w:val="24"/>
          <w:u w:val="single" w:color="0000FF"/>
        </w:rPr>
        <w:t xml:space="preserve"> 号</w:t>
      </w:r>
      <w:r>
        <w:rPr>
          <w:color w:val="0000FF"/>
          <w:sz w:val="24"/>
          <w:u w:val="single" w:color="0000FF"/>
        </w:rPr>
        <w:t>）</w:t>
      </w:r>
    </w:p>
    <w:p>
      <w:pPr>
        <w:pStyle w:val="8"/>
        <w:numPr>
          <w:ilvl w:val="0"/>
          <w:numId w:val="21"/>
        </w:numPr>
        <w:tabs>
          <w:tab w:val="left" w:pos="2481"/>
        </w:tabs>
        <w:spacing w:before="1" w:after="0" w:line="240" w:lineRule="auto"/>
        <w:ind w:left="2480" w:right="0" w:hanging="201"/>
        <w:jc w:val="left"/>
        <w:rPr>
          <w:sz w:val="24"/>
        </w:rPr>
      </w:pPr>
      <w:r>
        <w:fldChar w:fldCharType="begin"/>
      </w:r>
      <w:r>
        <w:instrText xml:space="preserve"> HYPERLINK \l "_bookmark21" </w:instrText>
      </w:r>
      <w:r>
        <w:fldChar w:fldCharType="separate"/>
      </w:r>
      <w:r>
        <w:rPr>
          <w:color w:val="0000FF"/>
          <w:sz w:val="24"/>
          <w:u w:val="single" w:color="0000FF"/>
        </w:rPr>
        <w:t>《国家税务总局关于企业重组业务企业所得税</w:t>
      </w:r>
      <w:r>
        <w:rPr>
          <w:color w:val="0000FF"/>
          <w:sz w:val="24"/>
          <w:u w:val="single" w:color="0000FF"/>
        </w:rPr>
        <w:fldChar w:fldCharType="end"/>
      </w:r>
      <w:r>
        <w:fldChar w:fldCharType="begin"/>
      </w:r>
      <w:r>
        <w:instrText xml:space="preserve"> HYPERLINK \l "_bookmark21" </w:instrText>
      </w:r>
      <w:r>
        <w:fldChar w:fldCharType="separate"/>
      </w:r>
      <w:r>
        <w:rPr>
          <w:color w:val="0000FF"/>
          <w:sz w:val="24"/>
          <w:u w:val="single" w:color="0000FF"/>
        </w:rPr>
        <w:t>征收管理若干问题的公告》</w:t>
      </w:r>
      <w:r>
        <w:rPr>
          <w:color w:val="0000FF"/>
          <w:sz w:val="24"/>
          <w:u w:val="single" w:color="0000FF"/>
        </w:rPr>
        <w:fldChar w:fldCharType="end"/>
      </w:r>
    </w:p>
    <w:p>
      <w:pPr>
        <w:pStyle w:val="3"/>
        <w:spacing w:before="181"/>
        <w:rPr>
          <w:rFonts w:hint="eastAsia" w:ascii="微软雅黑" w:eastAsia="微软雅黑"/>
        </w:rPr>
      </w:pPr>
      <w:r>
        <w:rPr>
          <w:rFonts w:hint="eastAsia" w:ascii="微软雅黑" w:eastAsia="微软雅黑"/>
          <w:color w:val="0000FF"/>
          <w:u w:val="single" w:color="0000FF"/>
        </w:rPr>
        <w:t>（国家税务总局公告 2015 年第 48 号）</w:t>
      </w:r>
    </w:p>
    <w:p>
      <w:pPr>
        <w:pStyle w:val="3"/>
        <w:spacing w:before="0"/>
        <w:ind w:left="0"/>
        <w:rPr>
          <w:rFonts w:ascii="微软雅黑"/>
          <w:sz w:val="20"/>
        </w:rPr>
      </w:pPr>
    </w:p>
    <w:p>
      <w:pPr>
        <w:pStyle w:val="3"/>
        <w:spacing w:before="13"/>
        <w:ind w:left="0"/>
        <w:rPr>
          <w:rFonts w:ascii="微软雅黑"/>
          <w:sz w:val="21"/>
        </w:rPr>
      </w:pPr>
    </w:p>
    <w:p>
      <w:pPr>
        <w:spacing w:before="37"/>
        <w:ind w:left="2280" w:right="0" w:firstLine="0"/>
        <w:jc w:val="left"/>
        <w:outlineLvl w:val="1"/>
        <w:rPr>
          <w:rFonts w:hint="eastAsia" w:ascii="微软雅黑" w:eastAsia="微软雅黑"/>
          <w:b/>
          <w:sz w:val="24"/>
        </w:rPr>
      </w:pPr>
      <w:r>
        <w:pict>
          <v:shape id="_x0000_s1048" o:spid="_x0000_s1048" o:spt="136" type="#_x0000_t136" style="position:absolute;left:0pt;margin-left:41.25pt;margin-top:-37pt;height:132pt;width:528.05pt;mso-position-horizontal-relative:page;rotation:20643840f;z-index:-251633664;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eastAsia="微软雅黑"/>
          <w:b/>
          <w:color w:val="333333"/>
          <w:sz w:val="24"/>
        </w:rPr>
        <w:t>（三）股权收购</w:t>
      </w:r>
    </w:p>
    <w:p>
      <w:pPr>
        <w:spacing w:before="182"/>
        <w:ind w:left="2280" w:right="0" w:firstLine="0"/>
        <w:jc w:val="left"/>
        <w:rPr>
          <w:rFonts w:hint="eastAsia" w:ascii="微软雅黑" w:eastAsia="微软雅黑"/>
          <w:b/>
          <w:sz w:val="24"/>
        </w:rPr>
      </w:pPr>
      <w:r>
        <w:rPr>
          <w:rFonts w:hint="eastAsia" w:ascii="微软雅黑" w:eastAsia="微软雅黑"/>
          <w:b/>
          <w:color w:val="333333"/>
          <w:sz w:val="24"/>
        </w:rPr>
        <w:t>【适用主体】</w:t>
      </w:r>
    </w:p>
    <w:p>
      <w:pPr>
        <w:pStyle w:val="3"/>
        <w:spacing w:before="181"/>
        <w:ind w:left="2280"/>
        <w:rPr>
          <w:rFonts w:hint="eastAsia" w:ascii="微软雅黑" w:eastAsia="微软雅黑"/>
        </w:rPr>
      </w:pPr>
      <w:r>
        <w:rPr>
          <w:rFonts w:hint="eastAsia" w:ascii="微软雅黑" w:eastAsia="微软雅黑"/>
          <w:color w:val="333333"/>
        </w:rPr>
        <w:t>所有企业</w:t>
      </w:r>
    </w:p>
    <w:p>
      <w:pPr>
        <w:spacing w:before="182"/>
        <w:ind w:left="2280" w:right="0" w:firstLine="0"/>
        <w:jc w:val="left"/>
        <w:rPr>
          <w:rFonts w:hint="eastAsia" w:ascii="微软雅黑" w:eastAsia="微软雅黑"/>
          <w:b/>
          <w:sz w:val="24"/>
        </w:rPr>
      </w:pPr>
      <w:r>
        <w:rPr>
          <w:rFonts w:hint="eastAsia" w:ascii="微软雅黑" w:eastAsia="微软雅黑"/>
          <w:b/>
          <w:color w:val="333333"/>
          <w:sz w:val="24"/>
        </w:rPr>
        <w:t>【政策内容】</w:t>
      </w:r>
    </w:p>
    <w:p>
      <w:pPr>
        <w:pStyle w:val="8"/>
        <w:numPr>
          <w:ilvl w:val="0"/>
          <w:numId w:val="22"/>
        </w:numPr>
        <w:tabs>
          <w:tab w:val="left" w:pos="2481"/>
        </w:tabs>
        <w:spacing w:before="182" w:after="0" w:line="240" w:lineRule="auto"/>
        <w:ind w:left="2480" w:right="0" w:hanging="201"/>
        <w:jc w:val="left"/>
        <w:rPr>
          <w:sz w:val="24"/>
        </w:rPr>
      </w:pPr>
      <w:r>
        <w:rPr>
          <w:color w:val="333333"/>
          <w:sz w:val="24"/>
        </w:rPr>
        <w:t>股权收购的当事各方：收购方、转让方及被收购企业。</w:t>
      </w:r>
    </w:p>
    <w:p>
      <w:pPr>
        <w:pStyle w:val="8"/>
        <w:numPr>
          <w:ilvl w:val="0"/>
          <w:numId w:val="22"/>
        </w:numPr>
        <w:tabs>
          <w:tab w:val="left" w:pos="2481"/>
        </w:tabs>
        <w:spacing w:before="181" w:after="0" w:line="338" w:lineRule="auto"/>
        <w:ind w:left="1800" w:right="1795" w:firstLine="480"/>
        <w:jc w:val="both"/>
        <w:rPr>
          <w:sz w:val="24"/>
        </w:rPr>
      </w:pPr>
      <w:r>
        <w:rPr>
          <w:color w:val="333333"/>
          <w:spacing w:val="-6"/>
          <w:sz w:val="24"/>
        </w:rPr>
        <w:t>股权收购的主导方：股权转让方。涉及两个或两个以上股权转让方，由转</w:t>
      </w:r>
      <w:r>
        <w:rPr>
          <w:color w:val="333333"/>
          <w:spacing w:val="-5"/>
          <w:sz w:val="24"/>
        </w:rPr>
        <w:t>让被收购企业股权比例最大的一方作为主导方</w:t>
      </w:r>
      <w:r>
        <w:rPr>
          <w:color w:val="333333"/>
          <w:sz w:val="24"/>
        </w:rPr>
        <w:t>（</w:t>
      </w:r>
      <w:r>
        <w:rPr>
          <w:color w:val="333333"/>
          <w:spacing w:val="-2"/>
          <w:sz w:val="24"/>
        </w:rPr>
        <w:t>转让股权比例相同的可协商确定</w:t>
      </w:r>
      <w:r>
        <w:rPr>
          <w:color w:val="333333"/>
          <w:sz w:val="24"/>
        </w:rPr>
        <w:t>主导方）。</w:t>
      </w:r>
    </w:p>
    <w:p>
      <w:pPr>
        <w:pStyle w:val="8"/>
        <w:numPr>
          <w:ilvl w:val="0"/>
          <w:numId w:val="22"/>
        </w:numPr>
        <w:tabs>
          <w:tab w:val="left" w:pos="2481"/>
        </w:tabs>
        <w:spacing w:before="1" w:after="0" w:line="240" w:lineRule="auto"/>
        <w:ind w:left="2480" w:right="0" w:hanging="201"/>
        <w:jc w:val="left"/>
        <w:rPr>
          <w:sz w:val="24"/>
        </w:rPr>
      </w:pPr>
      <w:r>
        <w:rPr>
          <w:color w:val="333333"/>
          <w:sz w:val="24"/>
        </w:rPr>
        <w:t>处理规定</w:t>
      </w:r>
    </w:p>
    <w:p>
      <w:pPr>
        <w:pStyle w:val="3"/>
        <w:spacing w:before="182"/>
        <w:ind w:left="2280"/>
        <w:rPr>
          <w:rFonts w:hint="eastAsia" w:ascii="微软雅黑" w:eastAsia="微软雅黑"/>
        </w:rPr>
      </w:pPr>
      <w:r>
        <w:rPr>
          <w:rFonts w:hint="eastAsia" w:ascii="微软雅黑" w:eastAsia="微软雅黑"/>
          <w:color w:val="333333"/>
        </w:rPr>
        <w:t>股权收购分为一般性税务处理与特殊性税务处理规定。</w:t>
      </w:r>
    </w:p>
    <w:p>
      <w:pPr>
        <w:pStyle w:val="8"/>
        <w:numPr>
          <w:ilvl w:val="0"/>
          <w:numId w:val="23"/>
        </w:numPr>
        <w:tabs>
          <w:tab w:val="left" w:pos="2901"/>
        </w:tabs>
        <w:spacing w:before="181" w:after="0" w:line="240" w:lineRule="auto"/>
        <w:ind w:left="2900" w:right="0" w:hanging="621"/>
        <w:jc w:val="left"/>
        <w:rPr>
          <w:sz w:val="24"/>
        </w:rPr>
      </w:pPr>
      <w:r>
        <w:rPr>
          <w:color w:val="333333"/>
          <w:sz w:val="24"/>
        </w:rPr>
        <w:t>一般性税务处理规定</w:t>
      </w:r>
    </w:p>
    <w:p>
      <w:pPr>
        <w:spacing w:after="0" w:line="240" w:lineRule="auto"/>
        <w:jc w:val="left"/>
        <w:rPr>
          <w:sz w:val="24"/>
        </w:rPr>
        <w:sectPr>
          <w:pgSz w:w="11910" w:h="16840"/>
          <w:pgMar w:top="1540" w:right="0" w:bottom="1380" w:left="0" w:header="965" w:footer="1182" w:gutter="0"/>
          <w:cols w:space="720" w:num="1"/>
        </w:sectPr>
      </w:pPr>
    </w:p>
    <w:p>
      <w:pPr>
        <w:pStyle w:val="3"/>
        <w:spacing w:before="11"/>
        <w:ind w:left="0"/>
        <w:rPr>
          <w:rFonts w:ascii="微软雅黑"/>
          <w:sz w:val="10"/>
        </w:rPr>
      </w:pPr>
    </w:p>
    <w:p>
      <w:pPr>
        <w:pStyle w:val="3"/>
        <w:spacing w:before="37" w:line="338" w:lineRule="auto"/>
        <w:ind w:right="1797" w:firstLine="480"/>
        <w:rPr>
          <w:rFonts w:hint="eastAsia" w:ascii="微软雅黑" w:eastAsia="微软雅黑"/>
        </w:rPr>
      </w:pPr>
      <w:r>
        <w:rPr>
          <w:rFonts w:hint="eastAsia" w:ascii="微软雅黑" w:eastAsia="微软雅黑"/>
          <w:color w:val="333333"/>
          <w:spacing w:val="-7"/>
        </w:rPr>
        <w:t>转让方按规定确认股权转让所得或损失。收购方对取得的股权以其公允价值</w:t>
      </w:r>
      <w:r>
        <w:rPr>
          <w:rFonts w:hint="eastAsia" w:ascii="微软雅黑" w:eastAsia="微软雅黑"/>
          <w:color w:val="333333"/>
        </w:rPr>
        <w:t>确定计税基础。被收购企业相关所得税事项原则上保持不变。</w:t>
      </w:r>
    </w:p>
    <w:p>
      <w:pPr>
        <w:pStyle w:val="8"/>
        <w:numPr>
          <w:ilvl w:val="0"/>
          <w:numId w:val="23"/>
        </w:numPr>
        <w:tabs>
          <w:tab w:val="left" w:pos="2901"/>
        </w:tabs>
        <w:spacing w:before="0" w:after="0" w:line="240" w:lineRule="auto"/>
        <w:ind w:left="2900" w:right="0" w:hanging="621"/>
        <w:jc w:val="left"/>
        <w:rPr>
          <w:sz w:val="24"/>
        </w:rPr>
      </w:pPr>
      <w:r>
        <w:rPr>
          <w:color w:val="333333"/>
          <w:sz w:val="24"/>
        </w:rPr>
        <w:t>特殊性税务处理规定</w:t>
      </w:r>
    </w:p>
    <w:p>
      <w:pPr>
        <w:pStyle w:val="3"/>
        <w:spacing w:before="182" w:line="338" w:lineRule="auto"/>
        <w:ind w:right="1797" w:firstLine="480"/>
        <w:rPr>
          <w:rFonts w:hint="eastAsia" w:ascii="微软雅黑" w:hAnsi="微软雅黑" w:eastAsia="微软雅黑"/>
        </w:rPr>
      </w:pPr>
      <w:r>
        <w:rPr>
          <w:rFonts w:hint="eastAsia" w:ascii="微软雅黑" w:hAnsi="微软雅黑" w:eastAsia="微软雅黑"/>
          <w:color w:val="333333"/>
          <w:spacing w:val="-5"/>
        </w:rPr>
        <w:t>①转让方从收购方取得的对价中的股权支付部分暂不确认所得或损失，非股</w:t>
      </w:r>
      <w:r>
        <w:rPr>
          <w:rFonts w:hint="eastAsia" w:ascii="微软雅黑" w:hAnsi="微软雅黑" w:eastAsia="微软雅黑"/>
          <w:color w:val="333333"/>
        </w:rPr>
        <w:t>权支付部分应计算确认当期所得或损失。</w:t>
      </w:r>
    </w:p>
    <w:p>
      <w:pPr>
        <w:pStyle w:val="3"/>
        <w:spacing w:before="0" w:line="338" w:lineRule="auto"/>
        <w:ind w:right="1797" w:firstLine="480"/>
        <w:jc w:val="both"/>
        <w:rPr>
          <w:rFonts w:hint="eastAsia" w:ascii="微软雅黑" w:hAnsi="微软雅黑" w:eastAsia="微软雅黑"/>
        </w:rPr>
      </w:pPr>
      <w:r>
        <w:pict>
          <v:shape id="_x0000_s1049" o:spid="_x0000_s1049" o:spt="136" type="#_x0000_t136" style="position:absolute;left:0pt;margin-left:41.25pt;margin-top:117.1pt;height:132pt;width:528.05pt;mso-position-horizontal-relative:page;rotation:20643840f;z-index:-251632640;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hAnsi="微软雅黑" w:eastAsia="微软雅黑"/>
          <w:color w:val="333333"/>
          <w:spacing w:val="-6"/>
        </w:rPr>
        <w:t>②收购方暂不确认股权支付部分的转让所得或损失，对取得的被收购企业股</w:t>
      </w:r>
      <w:r>
        <w:rPr>
          <w:rFonts w:hint="eastAsia" w:ascii="微软雅黑" w:hAnsi="微软雅黑" w:eastAsia="微软雅黑"/>
          <w:color w:val="333333"/>
          <w:spacing w:val="-10"/>
        </w:rPr>
        <w:t>权的计税基础，以被收购股权的原有计税基础确定。若收购方支付的对价中包含</w:t>
      </w:r>
      <w:r>
        <w:rPr>
          <w:rFonts w:hint="eastAsia" w:ascii="微软雅黑" w:hAnsi="微软雅黑" w:eastAsia="微软雅黑"/>
          <w:color w:val="333333"/>
          <w:spacing w:val="-9"/>
        </w:rPr>
        <w:t>非股权支付部分，该部分应在交易当期确认相应的资产转让所得或损失，并调整被收购股权的计税基础。收购方、被收购方的原有各项资产和负债的计税基础和</w:t>
      </w:r>
      <w:r>
        <w:rPr>
          <w:rFonts w:hint="eastAsia" w:ascii="微软雅黑" w:hAnsi="微软雅黑" w:eastAsia="微软雅黑"/>
          <w:color w:val="333333"/>
        </w:rPr>
        <w:t>其他相关所得税事项保持不变。</w:t>
      </w:r>
    </w:p>
    <w:p>
      <w:pPr>
        <w:spacing w:before="2"/>
        <w:ind w:left="2280" w:right="0" w:firstLine="0"/>
        <w:jc w:val="left"/>
        <w:rPr>
          <w:rFonts w:hint="eastAsia" w:ascii="微软雅黑" w:eastAsia="微软雅黑"/>
          <w:b/>
          <w:sz w:val="24"/>
        </w:rPr>
      </w:pPr>
      <w:r>
        <w:rPr>
          <w:rFonts w:hint="eastAsia" w:ascii="微软雅黑" w:eastAsia="微软雅黑"/>
          <w:b/>
          <w:color w:val="333333"/>
          <w:sz w:val="24"/>
        </w:rPr>
        <w:t>【适用条件】</w:t>
      </w:r>
    </w:p>
    <w:p>
      <w:pPr>
        <w:pStyle w:val="3"/>
        <w:spacing w:before="181"/>
        <w:ind w:left="2280"/>
        <w:rPr>
          <w:rFonts w:hint="eastAsia" w:ascii="微软雅黑" w:eastAsia="微软雅黑"/>
        </w:rPr>
      </w:pPr>
      <w:r>
        <w:rPr>
          <w:rFonts w:hint="eastAsia" w:ascii="微软雅黑" w:eastAsia="微软雅黑"/>
          <w:color w:val="333333"/>
        </w:rPr>
        <w:t>股权收购适用特殊性处税务处理的条件包括：</w:t>
      </w:r>
    </w:p>
    <w:p>
      <w:pPr>
        <w:pStyle w:val="8"/>
        <w:numPr>
          <w:ilvl w:val="0"/>
          <w:numId w:val="24"/>
        </w:numPr>
        <w:tabs>
          <w:tab w:val="left" w:pos="2481"/>
        </w:tabs>
        <w:spacing w:before="182" w:after="0" w:line="240" w:lineRule="auto"/>
        <w:ind w:left="2480" w:right="0" w:hanging="201"/>
        <w:jc w:val="left"/>
        <w:rPr>
          <w:sz w:val="24"/>
        </w:rPr>
      </w:pPr>
      <w:r>
        <w:rPr>
          <w:color w:val="333333"/>
          <w:sz w:val="24"/>
        </w:rPr>
        <w:t>具有合理的商业目的，且不以减少、免除或者推迟缴纳税款为主要目的。</w:t>
      </w:r>
    </w:p>
    <w:p>
      <w:pPr>
        <w:pStyle w:val="8"/>
        <w:numPr>
          <w:ilvl w:val="0"/>
          <w:numId w:val="24"/>
        </w:numPr>
        <w:tabs>
          <w:tab w:val="left" w:pos="2481"/>
        </w:tabs>
        <w:spacing w:before="182" w:after="0" w:line="240" w:lineRule="auto"/>
        <w:ind w:left="2480" w:right="0" w:hanging="201"/>
        <w:jc w:val="left"/>
        <w:rPr>
          <w:sz w:val="24"/>
        </w:rPr>
      </w:pPr>
      <w:r>
        <w:rPr>
          <w:color w:val="333333"/>
          <w:spacing w:val="-1"/>
          <w:sz w:val="24"/>
        </w:rPr>
        <w:t xml:space="preserve">收购企业购买的股权不低于被收购企业全部股权的 </w:t>
      </w:r>
      <w:r>
        <w:rPr>
          <w:color w:val="333333"/>
          <w:sz w:val="24"/>
        </w:rPr>
        <w:t>50%。</w:t>
      </w:r>
    </w:p>
    <w:p>
      <w:pPr>
        <w:pStyle w:val="8"/>
        <w:numPr>
          <w:ilvl w:val="0"/>
          <w:numId w:val="24"/>
        </w:numPr>
        <w:tabs>
          <w:tab w:val="left" w:pos="2481"/>
        </w:tabs>
        <w:spacing w:before="181" w:after="0" w:line="240" w:lineRule="auto"/>
        <w:ind w:left="2480" w:right="0" w:hanging="201"/>
        <w:jc w:val="left"/>
        <w:rPr>
          <w:sz w:val="24"/>
        </w:rPr>
      </w:pPr>
      <w:r>
        <w:rPr>
          <w:color w:val="333333"/>
          <w:spacing w:val="-2"/>
          <w:sz w:val="24"/>
        </w:rPr>
        <w:t xml:space="preserve">企业重组后的连续 </w:t>
      </w:r>
      <w:r>
        <w:rPr>
          <w:color w:val="333333"/>
          <w:sz w:val="24"/>
        </w:rPr>
        <w:t>12</w:t>
      </w:r>
      <w:r>
        <w:rPr>
          <w:color w:val="333333"/>
          <w:spacing w:val="-3"/>
          <w:sz w:val="24"/>
        </w:rPr>
        <w:t xml:space="preserve"> 个月内不改变重组资产原来的实质性经营活动。</w:t>
      </w:r>
    </w:p>
    <w:p>
      <w:pPr>
        <w:pStyle w:val="8"/>
        <w:numPr>
          <w:ilvl w:val="0"/>
          <w:numId w:val="24"/>
        </w:numPr>
        <w:tabs>
          <w:tab w:val="left" w:pos="2484"/>
        </w:tabs>
        <w:spacing w:before="182" w:after="0" w:line="240" w:lineRule="auto"/>
        <w:ind w:left="2484" w:right="0" w:hanging="204"/>
        <w:jc w:val="left"/>
        <w:rPr>
          <w:sz w:val="24"/>
        </w:rPr>
      </w:pPr>
      <w:r>
        <w:rPr>
          <w:color w:val="333333"/>
          <w:spacing w:val="3"/>
          <w:sz w:val="24"/>
        </w:rPr>
        <w:t>收购企业在该股权收购发生时的股权支付金额不低于其交易支付总额的</w:t>
      </w:r>
    </w:p>
    <w:p>
      <w:pPr>
        <w:pStyle w:val="3"/>
        <w:spacing w:before="181"/>
        <w:rPr>
          <w:rFonts w:hint="eastAsia" w:ascii="微软雅黑" w:eastAsia="微软雅黑"/>
        </w:rPr>
      </w:pPr>
      <w:r>
        <w:rPr>
          <w:rFonts w:hint="eastAsia" w:ascii="微软雅黑" w:eastAsia="微软雅黑"/>
          <w:color w:val="333333"/>
        </w:rPr>
        <w:t>85%。</w:t>
      </w:r>
    </w:p>
    <w:p>
      <w:pPr>
        <w:pStyle w:val="8"/>
        <w:numPr>
          <w:ilvl w:val="0"/>
          <w:numId w:val="24"/>
        </w:numPr>
        <w:tabs>
          <w:tab w:val="left" w:pos="2481"/>
        </w:tabs>
        <w:spacing w:before="182" w:after="0" w:line="240" w:lineRule="auto"/>
        <w:ind w:left="2480" w:right="0" w:hanging="201"/>
        <w:jc w:val="left"/>
        <w:rPr>
          <w:sz w:val="24"/>
        </w:rPr>
      </w:pPr>
      <w:r>
        <w:rPr>
          <w:color w:val="333333"/>
          <w:spacing w:val="-3"/>
          <w:sz w:val="24"/>
        </w:rPr>
        <w:t>企业重组中取得股权支付的原主要股东</w:t>
      </w:r>
      <w:r>
        <w:rPr>
          <w:color w:val="333333"/>
          <w:sz w:val="24"/>
        </w:rPr>
        <w:t>（指原持有转让企业或被收购企业</w:t>
      </w:r>
    </w:p>
    <w:p>
      <w:pPr>
        <w:pStyle w:val="3"/>
        <w:spacing w:before="182"/>
        <w:rPr>
          <w:rFonts w:hint="eastAsia" w:ascii="微软雅黑" w:eastAsia="微软雅黑"/>
        </w:rPr>
      </w:pPr>
      <w:r>
        <w:rPr>
          <w:rFonts w:hint="eastAsia" w:ascii="微软雅黑" w:eastAsia="微软雅黑"/>
          <w:color w:val="333333"/>
        </w:rPr>
        <w:t>20%以上股权的股东），在重组后连续 12 个月内，不得转让所取得的股权。</w:t>
      </w:r>
    </w:p>
    <w:p>
      <w:pPr>
        <w:spacing w:before="181"/>
        <w:ind w:left="2280" w:right="0" w:firstLine="0"/>
        <w:jc w:val="left"/>
        <w:rPr>
          <w:rFonts w:hint="eastAsia" w:ascii="微软雅黑" w:eastAsia="微软雅黑"/>
          <w:b/>
          <w:sz w:val="24"/>
        </w:rPr>
      </w:pPr>
      <w:r>
        <w:rPr>
          <w:rFonts w:hint="eastAsia" w:ascii="微软雅黑" w:eastAsia="微软雅黑"/>
          <w:b/>
          <w:color w:val="333333"/>
          <w:sz w:val="24"/>
        </w:rPr>
        <w:t>【备查资料】</w:t>
      </w:r>
      <w:r>
        <w:rPr>
          <w:rFonts w:hint="eastAsia" w:ascii="微软雅黑" w:eastAsia="微软雅黑"/>
          <w:b/>
          <w:sz w:val="24"/>
        </w:rPr>
        <w:t>【备案资料】</w:t>
      </w:r>
    </w:p>
    <w:p>
      <w:pPr>
        <w:pStyle w:val="3"/>
        <w:spacing w:before="182"/>
        <w:ind w:left="2280"/>
        <w:rPr>
          <w:rFonts w:hint="eastAsia" w:ascii="微软雅黑" w:eastAsia="微软雅黑"/>
        </w:rPr>
      </w:pPr>
      <w:r>
        <w:rPr>
          <w:rFonts w:hint="eastAsia" w:ascii="微软雅黑" w:eastAsia="微软雅黑"/>
          <w:color w:val="333333"/>
        </w:rPr>
        <w:t>1.适用一般性税务处理的留存</w:t>
      </w:r>
    </w:p>
    <w:p>
      <w:pPr>
        <w:pStyle w:val="8"/>
        <w:numPr>
          <w:ilvl w:val="0"/>
          <w:numId w:val="25"/>
        </w:numPr>
        <w:tabs>
          <w:tab w:val="left" w:pos="2901"/>
        </w:tabs>
        <w:spacing w:before="181" w:after="0" w:line="240" w:lineRule="auto"/>
        <w:ind w:left="2900" w:right="0" w:hanging="621"/>
        <w:jc w:val="left"/>
        <w:rPr>
          <w:sz w:val="24"/>
        </w:rPr>
      </w:pPr>
      <w:r>
        <w:rPr>
          <w:color w:val="333333"/>
          <w:sz w:val="24"/>
        </w:rPr>
        <w:t>当事各方所签订的股权收购、资产收购业务合同或协议；</w:t>
      </w:r>
    </w:p>
    <w:p>
      <w:pPr>
        <w:spacing w:after="0" w:line="240" w:lineRule="auto"/>
        <w:jc w:val="left"/>
        <w:rPr>
          <w:sz w:val="24"/>
        </w:rPr>
        <w:sectPr>
          <w:pgSz w:w="11910" w:h="16840"/>
          <w:pgMar w:top="1540" w:right="0" w:bottom="1380" w:left="0" w:header="965" w:footer="1182" w:gutter="0"/>
          <w:cols w:space="720" w:num="1"/>
        </w:sectPr>
      </w:pPr>
    </w:p>
    <w:p>
      <w:pPr>
        <w:pStyle w:val="3"/>
        <w:spacing w:before="11"/>
        <w:ind w:left="0"/>
        <w:rPr>
          <w:rFonts w:ascii="微软雅黑"/>
          <w:sz w:val="10"/>
        </w:rPr>
      </w:pPr>
    </w:p>
    <w:p>
      <w:pPr>
        <w:pStyle w:val="8"/>
        <w:numPr>
          <w:ilvl w:val="0"/>
          <w:numId w:val="25"/>
        </w:numPr>
        <w:tabs>
          <w:tab w:val="left" w:pos="2901"/>
        </w:tabs>
        <w:spacing w:before="37" w:after="0" w:line="338" w:lineRule="auto"/>
        <w:ind w:left="2280" w:right="4924" w:firstLine="0"/>
        <w:jc w:val="left"/>
        <w:rPr>
          <w:sz w:val="24"/>
        </w:rPr>
      </w:pPr>
      <w:r>
        <w:rPr>
          <w:color w:val="333333"/>
          <w:spacing w:val="-1"/>
          <w:sz w:val="24"/>
        </w:rPr>
        <w:t>相关股权、资产公允价值的合法证据。</w:t>
      </w:r>
      <w:r>
        <w:rPr>
          <w:color w:val="333333"/>
          <w:sz w:val="24"/>
        </w:rPr>
        <w:t>2.适用特殊性税务处理应报送的资料</w:t>
      </w:r>
    </w:p>
    <w:p>
      <w:pPr>
        <w:pStyle w:val="8"/>
        <w:numPr>
          <w:ilvl w:val="0"/>
          <w:numId w:val="26"/>
        </w:numPr>
        <w:tabs>
          <w:tab w:val="left" w:pos="2901"/>
        </w:tabs>
        <w:spacing w:before="0" w:after="0" w:line="240" w:lineRule="auto"/>
        <w:ind w:left="2900" w:right="0" w:hanging="621"/>
        <w:jc w:val="left"/>
        <w:rPr>
          <w:sz w:val="24"/>
        </w:rPr>
      </w:pPr>
      <w:r>
        <w:rPr>
          <w:color w:val="333333"/>
          <w:sz w:val="24"/>
        </w:rPr>
        <w:t>基本资料</w:t>
      </w:r>
    </w:p>
    <w:p>
      <w:pPr>
        <w:pStyle w:val="3"/>
        <w:spacing w:before="182" w:line="338" w:lineRule="auto"/>
        <w:ind w:right="1797" w:firstLine="480"/>
        <w:jc w:val="both"/>
        <w:rPr>
          <w:rFonts w:hint="eastAsia" w:ascii="微软雅黑" w:hAnsi="微软雅黑" w:eastAsia="微软雅黑"/>
        </w:rPr>
      </w:pPr>
      <w:r>
        <w:rPr>
          <w:rFonts w:hint="eastAsia" w:ascii="微软雅黑" w:hAnsi="微软雅黑" w:eastAsia="微软雅黑"/>
          <w:color w:val="333333"/>
          <w:spacing w:val="-6"/>
        </w:rPr>
        <w:t>①重组各方应在该重组业务完成当年，办理企业所得税年度申报时，分别向</w:t>
      </w:r>
      <w:r>
        <w:rPr>
          <w:rFonts w:hint="eastAsia" w:ascii="微软雅黑" w:hAnsi="微软雅黑" w:eastAsia="微软雅黑"/>
          <w:color w:val="333333"/>
          <w:spacing w:val="-8"/>
        </w:rPr>
        <w:t>各自主管税务机关报送《企业重组所得税特殊性税务处理报告表及附表》和其他</w:t>
      </w:r>
      <w:r>
        <w:rPr>
          <w:rFonts w:hint="eastAsia" w:ascii="微软雅黑" w:hAnsi="微软雅黑" w:eastAsia="微软雅黑"/>
          <w:color w:val="333333"/>
          <w:spacing w:val="-10"/>
        </w:rPr>
        <w:t>申报资料。重组主导方申报后，其他当事方向其主管税务机关办理纳税申报。申</w:t>
      </w:r>
      <w:r>
        <w:rPr>
          <w:rFonts w:hint="eastAsia" w:ascii="微软雅黑" w:hAnsi="微软雅黑" w:eastAsia="微软雅黑"/>
          <w:color w:val="333333"/>
          <w:spacing w:val="-6"/>
        </w:rPr>
        <w:t>报时还应附送重组主导方经主管税务机关受理的《企业重组所得税特殊性税务处</w:t>
      </w:r>
      <w:r>
        <w:rPr>
          <w:rFonts w:hint="eastAsia" w:ascii="微软雅黑" w:hAnsi="微软雅黑" w:eastAsia="微软雅黑"/>
          <w:color w:val="333333"/>
        </w:rPr>
        <w:t>理报告表及附表》（复印件）。</w:t>
      </w:r>
    </w:p>
    <w:p>
      <w:pPr>
        <w:pStyle w:val="3"/>
        <w:spacing w:line="338" w:lineRule="auto"/>
        <w:ind w:right="1797" w:firstLine="480"/>
        <w:jc w:val="both"/>
        <w:rPr>
          <w:rFonts w:hint="eastAsia" w:ascii="微软雅黑" w:hAnsi="微软雅黑" w:eastAsia="微软雅黑"/>
        </w:rPr>
      </w:pPr>
      <w:r>
        <w:pict>
          <v:shape id="_x0000_s1050" o:spid="_x0000_s1050" o:spt="136" type="#_x0000_t136" style="position:absolute;left:0pt;margin-left:41.25pt;margin-top:23.55pt;height:132pt;width:528.05pt;mso-position-horizontal-relative:page;rotation:20643840f;z-index:-251631616;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hAnsi="微软雅黑" w:eastAsia="微软雅黑"/>
          <w:color w:val="333333"/>
          <w:spacing w:val="-5"/>
        </w:rPr>
        <w:t>②当事各方应在完成重组业务后的下一年度的企业所得税年度申报时，向主</w:t>
      </w:r>
      <w:r>
        <w:rPr>
          <w:rFonts w:hint="eastAsia" w:ascii="微软雅黑" w:hAnsi="微软雅黑" w:eastAsia="微软雅黑"/>
          <w:color w:val="333333"/>
          <w:spacing w:val="-2"/>
        </w:rPr>
        <w:t xml:space="preserve">管税务机关提交书面情况说明，以证明企业在重组后的连续 </w:t>
      </w:r>
      <w:r>
        <w:rPr>
          <w:rFonts w:hint="eastAsia" w:ascii="微软雅黑" w:hAnsi="微软雅黑" w:eastAsia="微软雅黑"/>
          <w:color w:val="333333"/>
        </w:rPr>
        <w:t>12</w:t>
      </w:r>
      <w:r>
        <w:rPr>
          <w:rFonts w:hint="eastAsia" w:ascii="微软雅黑" w:hAnsi="微软雅黑" w:eastAsia="微软雅黑"/>
          <w:color w:val="333333"/>
          <w:spacing w:val="-7"/>
        </w:rPr>
        <w:t xml:space="preserve"> 个月内，有关符</w:t>
      </w:r>
      <w:r>
        <w:rPr>
          <w:rFonts w:hint="eastAsia" w:ascii="微软雅黑" w:hAnsi="微软雅黑" w:eastAsia="微软雅黑"/>
          <w:color w:val="333333"/>
        </w:rPr>
        <w:t>合特殊性税务处理的条件未发生改变。</w:t>
      </w:r>
    </w:p>
    <w:p>
      <w:pPr>
        <w:pStyle w:val="3"/>
        <w:spacing w:line="338" w:lineRule="auto"/>
        <w:ind w:right="1797" w:firstLine="480"/>
        <w:jc w:val="both"/>
        <w:rPr>
          <w:rFonts w:hint="eastAsia" w:ascii="微软雅黑" w:hAnsi="微软雅黑" w:eastAsia="微软雅黑"/>
        </w:rPr>
      </w:pPr>
      <w:r>
        <w:rPr>
          <w:rFonts w:hint="eastAsia" w:ascii="微软雅黑" w:hAnsi="微软雅黑" w:eastAsia="微软雅黑"/>
          <w:color w:val="333333"/>
          <w:spacing w:val="-6"/>
        </w:rPr>
        <w:t>③企业重组业务适用特殊性税务处理的，申报时，当事各方还应向主管税务</w:t>
      </w:r>
      <w:r>
        <w:rPr>
          <w:rFonts w:hint="eastAsia" w:ascii="微软雅黑" w:hAnsi="微软雅黑" w:eastAsia="微软雅黑"/>
          <w:color w:val="333333"/>
          <w:spacing w:val="-2"/>
        </w:rPr>
        <w:t xml:space="preserve">机关提交重组前连续 </w:t>
      </w:r>
      <w:r>
        <w:rPr>
          <w:rFonts w:hint="eastAsia" w:ascii="微软雅黑" w:hAnsi="微软雅黑" w:eastAsia="微软雅黑"/>
          <w:color w:val="333333"/>
        </w:rPr>
        <w:t>12</w:t>
      </w:r>
      <w:r>
        <w:rPr>
          <w:rFonts w:hint="eastAsia" w:ascii="微软雅黑" w:hAnsi="微软雅黑" w:eastAsia="微软雅黑"/>
          <w:color w:val="333333"/>
          <w:spacing w:val="-5"/>
        </w:rPr>
        <w:t xml:space="preserve"> 个月内有无与该重组相关的其他股权、资产交易情况的</w:t>
      </w:r>
      <w:r>
        <w:rPr>
          <w:rFonts w:hint="eastAsia" w:ascii="微软雅黑" w:hAnsi="微软雅黑" w:eastAsia="微软雅黑"/>
          <w:color w:val="333333"/>
          <w:spacing w:val="-10"/>
        </w:rPr>
        <w:t>说明，并说明这些交易与该重组是否构成分步交易，是否作为一项企业重组业务</w:t>
      </w:r>
      <w:r>
        <w:rPr>
          <w:rFonts w:hint="eastAsia" w:ascii="微软雅黑" w:hAnsi="微软雅黑" w:eastAsia="微软雅黑"/>
          <w:color w:val="333333"/>
        </w:rPr>
        <w:t>进行处理。</w:t>
      </w:r>
    </w:p>
    <w:p>
      <w:pPr>
        <w:pStyle w:val="8"/>
        <w:numPr>
          <w:ilvl w:val="0"/>
          <w:numId w:val="26"/>
        </w:numPr>
        <w:tabs>
          <w:tab w:val="left" w:pos="2901"/>
        </w:tabs>
        <w:spacing w:before="1" w:after="0" w:line="240" w:lineRule="auto"/>
        <w:ind w:left="2900" w:right="0" w:hanging="621"/>
        <w:jc w:val="left"/>
        <w:rPr>
          <w:sz w:val="24"/>
        </w:rPr>
      </w:pPr>
      <w:r>
        <w:rPr>
          <w:color w:val="333333"/>
          <w:sz w:val="24"/>
        </w:rPr>
        <w:t>其他申报资料</w:t>
      </w:r>
    </w:p>
    <w:p>
      <w:pPr>
        <w:pStyle w:val="3"/>
        <w:spacing w:before="182" w:line="338" w:lineRule="auto"/>
        <w:ind w:right="1797" w:firstLine="480"/>
        <w:rPr>
          <w:rFonts w:hint="eastAsia" w:ascii="微软雅黑" w:hAnsi="微软雅黑" w:eastAsia="微软雅黑"/>
        </w:rPr>
      </w:pPr>
      <w:r>
        <w:rPr>
          <w:rFonts w:hint="eastAsia" w:ascii="微软雅黑" w:hAnsi="微软雅黑" w:eastAsia="微软雅黑"/>
          <w:color w:val="333333"/>
          <w:spacing w:val="-8"/>
        </w:rPr>
        <w:t>①股权收购业务总体情况说明，包括股权收购方案、基本情况，并逐条说明</w:t>
      </w:r>
      <w:r>
        <w:rPr>
          <w:rFonts w:hint="eastAsia" w:ascii="微软雅黑" w:hAnsi="微软雅黑" w:eastAsia="微软雅黑"/>
          <w:color w:val="333333"/>
        </w:rPr>
        <w:t>股权收购的商业目的；</w:t>
      </w:r>
    </w:p>
    <w:p>
      <w:pPr>
        <w:pStyle w:val="3"/>
        <w:spacing w:before="0" w:line="338" w:lineRule="auto"/>
        <w:ind w:right="1753" w:firstLine="480"/>
        <w:rPr>
          <w:rFonts w:hint="eastAsia" w:ascii="微软雅黑" w:hAnsi="微软雅黑" w:eastAsia="微软雅黑"/>
        </w:rPr>
      </w:pPr>
      <w:r>
        <w:rPr>
          <w:rFonts w:hint="eastAsia" w:ascii="微软雅黑" w:hAnsi="微软雅黑" w:eastAsia="微软雅黑"/>
          <w:color w:val="333333"/>
        </w:rPr>
        <w:t>②股权收购、资产收购业务合同(协议)，需有权部门（包括内部和外部）批准的，应提供批准文件；</w:t>
      </w:r>
    </w:p>
    <w:p>
      <w:pPr>
        <w:pStyle w:val="3"/>
        <w:spacing w:before="0"/>
        <w:ind w:left="2280"/>
        <w:rPr>
          <w:rFonts w:hint="eastAsia" w:ascii="微软雅黑" w:hAnsi="微软雅黑" w:eastAsia="微软雅黑"/>
        </w:rPr>
      </w:pPr>
      <w:r>
        <w:rPr>
          <w:rFonts w:hint="eastAsia" w:ascii="微软雅黑" w:hAnsi="微软雅黑" w:eastAsia="微软雅黑"/>
          <w:color w:val="333333"/>
        </w:rPr>
        <w:t>③相关股权评估报告或其他公允价值证明；</w:t>
      </w:r>
    </w:p>
    <w:p>
      <w:pPr>
        <w:spacing w:after="0"/>
        <w:rPr>
          <w:rFonts w:hint="eastAsia" w:ascii="微软雅黑" w:hAnsi="微软雅黑" w:eastAsia="微软雅黑"/>
        </w:rPr>
        <w:sectPr>
          <w:pgSz w:w="11910" w:h="16840"/>
          <w:pgMar w:top="1540" w:right="0" w:bottom="1380" w:left="0" w:header="965" w:footer="1182" w:gutter="0"/>
          <w:cols w:space="720" w:num="1"/>
        </w:sectPr>
      </w:pPr>
    </w:p>
    <w:p>
      <w:pPr>
        <w:pStyle w:val="3"/>
        <w:spacing w:before="11"/>
        <w:ind w:left="0"/>
        <w:rPr>
          <w:rFonts w:ascii="微软雅黑"/>
          <w:sz w:val="10"/>
        </w:rPr>
      </w:pPr>
    </w:p>
    <w:p>
      <w:pPr>
        <w:pStyle w:val="3"/>
        <w:spacing w:before="37" w:line="338" w:lineRule="auto"/>
        <w:ind w:right="1797" w:firstLine="480"/>
        <w:rPr>
          <w:rFonts w:hint="eastAsia" w:ascii="微软雅黑" w:hAnsi="微软雅黑" w:eastAsia="微软雅黑"/>
        </w:rPr>
      </w:pPr>
      <w:r>
        <w:rPr>
          <w:rFonts w:hint="eastAsia" w:ascii="微软雅黑" w:hAnsi="微软雅黑" w:eastAsia="微软雅黑"/>
          <w:color w:val="333333"/>
        </w:rPr>
        <w:t>④12 个月内不改变重组资产原来的实质性经营活动、原主要股东不转让所取得股权的承诺书；</w:t>
      </w:r>
    </w:p>
    <w:p>
      <w:pPr>
        <w:pStyle w:val="3"/>
        <w:spacing w:before="0"/>
        <w:ind w:left="2280"/>
        <w:rPr>
          <w:rFonts w:hint="eastAsia" w:ascii="微软雅黑" w:hAnsi="微软雅黑" w:eastAsia="微软雅黑"/>
        </w:rPr>
      </w:pPr>
      <w:r>
        <w:rPr>
          <w:rFonts w:hint="eastAsia" w:ascii="微软雅黑" w:hAnsi="微软雅黑" w:eastAsia="微软雅黑"/>
          <w:color w:val="333333"/>
        </w:rPr>
        <w:t>⑤工商管理部门等有权机关登记的相关企业股权变更事项的证明材料；</w:t>
      </w:r>
    </w:p>
    <w:p>
      <w:pPr>
        <w:pStyle w:val="3"/>
        <w:spacing w:before="182"/>
        <w:ind w:left="2280"/>
        <w:rPr>
          <w:rFonts w:hint="eastAsia" w:ascii="微软雅黑" w:hAnsi="微软雅黑" w:eastAsia="微软雅黑"/>
        </w:rPr>
      </w:pPr>
      <w:r>
        <w:rPr>
          <w:rFonts w:hint="eastAsia" w:ascii="微软雅黑" w:hAnsi="微软雅黑" w:eastAsia="微软雅黑"/>
          <w:color w:val="333333"/>
        </w:rPr>
        <w:t>⑥重组当事各方一致选择特殊性税务处理并加盖当事各方公章的证明资料；</w:t>
      </w:r>
    </w:p>
    <w:p>
      <w:pPr>
        <w:pStyle w:val="3"/>
        <w:spacing w:before="182" w:line="338" w:lineRule="auto"/>
        <w:ind w:right="1797" w:firstLine="480"/>
        <w:rPr>
          <w:rFonts w:hint="eastAsia" w:ascii="微软雅黑" w:hAnsi="微软雅黑" w:eastAsia="微软雅黑"/>
        </w:rPr>
      </w:pPr>
      <w:r>
        <w:rPr>
          <w:rFonts w:hint="eastAsia" w:ascii="微软雅黑" w:hAnsi="微软雅黑" w:eastAsia="微软雅黑"/>
          <w:color w:val="333333"/>
          <w:spacing w:val="-9"/>
        </w:rPr>
        <w:t>⑦涉及非货币性资产支付的，应提供非货币性资产评估报告或其他公允价值</w:t>
      </w:r>
      <w:r>
        <w:rPr>
          <w:rFonts w:hint="eastAsia" w:ascii="微软雅黑" w:hAnsi="微软雅黑" w:eastAsia="微软雅黑"/>
          <w:color w:val="333333"/>
        </w:rPr>
        <w:t>证明；</w:t>
      </w:r>
    </w:p>
    <w:p>
      <w:pPr>
        <w:pStyle w:val="3"/>
        <w:spacing w:before="0" w:line="338" w:lineRule="auto"/>
        <w:ind w:right="1795" w:firstLine="480"/>
        <w:rPr>
          <w:rFonts w:hint="eastAsia" w:ascii="微软雅黑" w:hAnsi="微软雅黑" w:eastAsia="微软雅黑"/>
        </w:rPr>
      </w:pPr>
      <w:r>
        <w:rPr>
          <w:rFonts w:hint="eastAsia" w:ascii="微软雅黑" w:hAnsi="微软雅黑" w:eastAsia="微软雅黑"/>
          <w:color w:val="333333"/>
          <w:spacing w:val="-2"/>
        </w:rPr>
        <w:t xml:space="preserve">⑧重组前连续 </w:t>
      </w:r>
      <w:r>
        <w:rPr>
          <w:rFonts w:hint="eastAsia" w:ascii="微软雅黑" w:hAnsi="微软雅黑" w:eastAsia="微软雅黑"/>
          <w:color w:val="333333"/>
        </w:rPr>
        <w:t>12</w:t>
      </w:r>
      <w:r>
        <w:rPr>
          <w:rFonts w:hint="eastAsia" w:ascii="微软雅黑" w:hAnsi="微软雅黑" w:eastAsia="微软雅黑"/>
          <w:color w:val="333333"/>
          <w:spacing w:val="-8"/>
        </w:rPr>
        <w:t xml:space="preserve"> 个月内有无与该重组相关的其他股权、资产交易,与该重组</w:t>
      </w:r>
      <w:r>
        <w:rPr>
          <w:rFonts w:hint="eastAsia" w:ascii="微软雅黑" w:hAnsi="微软雅黑" w:eastAsia="微软雅黑"/>
          <w:color w:val="333333"/>
        </w:rPr>
        <w:t>是否构成分步交易、是否作为一项企业重组业务进行处理情况的说明；</w:t>
      </w:r>
    </w:p>
    <w:p>
      <w:pPr>
        <w:pStyle w:val="3"/>
        <w:spacing w:line="338" w:lineRule="auto"/>
        <w:ind w:right="1797" w:firstLine="480"/>
        <w:jc w:val="both"/>
        <w:rPr>
          <w:rFonts w:hint="eastAsia" w:ascii="微软雅黑" w:hAnsi="微软雅黑" w:eastAsia="微软雅黑"/>
        </w:rPr>
      </w:pPr>
      <w:r>
        <w:pict>
          <v:shape id="_x0000_s1051" o:spid="_x0000_s1051" o:spt="136" type="#_x0000_t136" style="position:absolute;left:0pt;margin-left:41.25pt;margin-top:23.55pt;height:132pt;width:528.05pt;mso-position-horizontal-relative:page;rotation:20643840f;z-index:-251630592;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hAnsi="微软雅黑" w:eastAsia="微软雅黑"/>
          <w:color w:val="333333"/>
          <w:spacing w:val="-3"/>
        </w:rPr>
        <w:t>⑨按会计准则规定当期应确认资产</w:t>
      </w:r>
      <w:r>
        <w:rPr>
          <w:rFonts w:hint="eastAsia" w:ascii="微软雅黑" w:hAnsi="微软雅黑" w:eastAsia="微软雅黑"/>
          <w:color w:val="333333"/>
        </w:rPr>
        <w:t>（股权</w:t>
      </w:r>
      <w:r>
        <w:rPr>
          <w:rFonts w:hint="eastAsia" w:ascii="微软雅黑" w:hAnsi="微软雅黑" w:eastAsia="微软雅黑"/>
          <w:color w:val="333333"/>
          <w:spacing w:val="-32"/>
        </w:rPr>
        <w:t>）</w:t>
      </w:r>
      <w:r>
        <w:rPr>
          <w:rFonts w:hint="eastAsia" w:ascii="微软雅黑" w:hAnsi="微软雅黑" w:eastAsia="微软雅黑"/>
          <w:color w:val="333333"/>
          <w:spacing w:val="-7"/>
        </w:rPr>
        <w:t>转让损益的，应提供按税法规定</w:t>
      </w:r>
      <w:r>
        <w:rPr>
          <w:rFonts w:hint="eastAsia" w:ascii="微软雅黑" w:hAnsi="微软雅黑" w:eastAsia="微软雅黑"/>
          <w:color w:val="333333"/>
          <w:spacing w:val="-5"/>
        </w:rPr>
        <w:t>核算的资产</w:t>
      </w:r>
      <w:r>
        <w:rPr>
          <w:rFonts w:hint="eastAsia" w:ascii="微软雅黑" w:hAnsi="微软雅黑" w:eastAsia="微软雅黑"/>
          <w:color w:val="333333"/>
        </w:rPr>
        <w:t>（股权</w:t>
      </w:r>
      <w:r>
        <w:rPr>
          <w:rFonts w:hint="eastAsia" w:ascii="微软雅黑" w:hAnsi="微软雅黑" w:eastAsia="微软雅黑"/>
          <w:color w:val="333333"/>
          <w:spacing w:val="-24"/>
        </w:rPr>
        <w:t>）</w:t>
      </w:r>
      <w:r>
        <w:rPr>
          <w:rFonts w:hint="eastAsia" w:ascii="微软雅黑" w:hAnsi="微软雅黑" w:eastAsia="微软雅黑"/>
          <w:color w:val="333333"/>
          <w:spacing w:val="-2"/>
        </w:rPr>
        <w:t>计税基础与按会计准则规定核算的相关资产</w:t>
      </w:r>
      <w:r>
        <w:rPr>
          <w:rFonts w:hint="eastAsia" w:ascii="微软雅黑" w:hAnsi="微软雅黑" w:eastAsia="微软雅黑"/>
          <w:color w:val="333333"/>
        </w:rPr>
        <w:t>（股权</w:t>
      </w:r>
      <w:r>
        <w:rPr>
          <w:rFonts w:hint="eastAsia" w:ascii="微软雅黑" w:hAnsi="微软雅黑" w:eastAsia="微软雅黑"/>
          <w:color w:val="333333"/>
          <w:spacing w:val="-25"/>
        </w:rPr>
        <w:t>）</w:t>
      </w:r>
      <w:r>
        <w:rPr>
          <w:rFonts w:hint="eastAsia" w:ascii="微软雅黑" w:hAnsi="微软雅黑" w:eastAsia="微软雅黑"/>
          <w:color w:val="333333"/>
          <w:spacing w:val="-6"/>
        </w:rPr>
        <w:t>账面价</w:t>
      </w:r>
      <w:r>
        <w:rPr>
          <w:rFonts w:hint="eastAsia" w:ascii="微软雅黑" w:hAnsi="微软雅黑" w:eastAsia="微软雅黑"/>
          <w:color w:val="333333"/>
        </w:rPr>
        <w:t>值的暂时性差异专项说明。</w:t>
      </w:r>
    </w:p>
    <w:p>
      <w:pPr>
        <w:spacing w:before="0"/>
        <w:ind w:left="2280" w:right="0" w:firstLine="0"/>
        <w:jc w:val="left"/>
        <w:rPr>
          <w:rFonts w:hint="eastAsia" w:ascii="微软雅黑" w:eastAsia="微软雅黑"/>
          <w:b/>
          <w:sz w:val="24"/>
        </w:rPr>
      </w:pPr>
      <w:r>
        <w:rPr>
          <w:rFonts w:hint="eastAsia" w:ascii="微软雅黑" w:eastAsia="微软雅黑"/>
          <w:b/>
          <w:color w:val="333333"/>
          <w:sz w:val="24"/>
        </w:rPr>
        <w:t>【政策依据】</w:t>
      </w:r>
    </w:p>
    <w:p>
      <w:pPr>
        <w:pStyle w:val="8"/>
        <w:numPr>
          <w:ilvl w:val="0"/>
          <w:numId w:val="27"/>
        </w:numPr>
        <w:tabs>
          <w:tab w:val="left" w:pos="2481"/>
        </w:tabs>
        <w:spacing w:before="182" w:after="0" w:line="240" w:lineRule="auto"/>
        <w:ind w:left="2480" w:right="0" w:hanging="201"/>
        <w:jc w:val="left"/>
        <w:rPr>
          <w:sz w:val="24"/>
        </w:rPr>
      </w:pPr>
      <w:r>
        <w:fldChar w:fldCharType="begin"/>
      </w:r>
      <w:r>
        <w:instrText xml:space="preserve"> HYPERLINK \l "_bookmark16" </w:instrText>
      </w:r>
      <w:r>
        <w:fldChar w:fldCharType="separate"/>
      </w:r>
      <w:r>
        <w:rPr>
          <w:color w:val="0000FF"/>
          <w:sz w:val="24"/>
          <w:u w:val="single" w:color="0000FF"/>
        </w:rPr>
        <w:t>《中华人民共和国企业所得税法》第二十条</w:t>
      </w:r>
      <w:r>
        <w:rPr>
          <w:color w:val="0000FF"/>
          <w:sz w:val="24"/>
          <w:u w:val="single" w:color="0000FF"/>
        </w:rPr>
        <w:fldChar w:fldCharType="end"/>
      </w:r>
    </w:p>
    <w:p>
      <w:pPr>
        <w:pStyle w:val="8"/>
        <w:numPr>
          <w:ilvl w:val="0"/>
          <w:numId w:val="27"/>
        </w:numPr>
        <w:tabs>
          <w:tab w:val="left" w:pos="2481"/>
        </w:tabs>
        <w:spacing w:before="182" w:after="0" w:line="240" w:lineRule="auto"/>
        <w:ind w:left="2480" w:right="0" w:hanging="201"/>
        <w:jc w:val="left"/>
        <w:rPr>
          <w:sz w:val="24"/>
        </w:rPr>
      </w:pPr>
      <w:r>
        <w:fldChar w:fldCharType="begin"/>
      </w:r>
      <w:r>
        <w:instrText xml:space="preserve"> HYPERLINK \l "_bookmark17" </w:instrText>
      </w:r>
      <w:r>
        <w:fldChar w:fldCharType="separate"/>
      </w:r>
      <w:r>
        <w:rPr>
          <w:color w:val="0000FF"/>
          <w:sz w:val="24"/>
          <w:u w:val="single" w:color="0000FF"/>
        </w:rPr>
        <w:t>《中华人民共和国企业所得税法实施条例》第七十五条</w:t>
      </w:r>
      <w:r>
        <w:rPr>
          <w:color w:val="0000FF"/>
          <w:sz w:val="24"/>
          <w:u w:val="single" w:color="0000FF"/>
        </w:rPr>
        <w:fldChar w:fldCharType="end"/>
      </w:r>
    </w:p>
    <w:p>
      <w:pPr>
        <w:pStyle w:val="8"/>
        <w:numPr>
          <w:ilvl w:val="0"/>
          <w:numId w:val="27"/>
        </w:numPr>
        <w:tabs>
          <w:tab w:val="left" w:pos="2484"/>
        </w:tabs>
        <w:spacing w:before="181" w:after="0" w:line="338" w:lineRule="auto"/>
        <w:ind w:left="1800" w:right="1797" w:firstLine="480"/>
        <w:jc w:val="left"/>
        <w:rPr>
          <w:sz w:val="24"/>
        </w:rPr>
      </w:pPr>
      <w:r>
        <w:fldChar w:fldCharType="begin"/>
      </w:r>
      <w:r>
        <w:instrText xml:space="preserve"> HYPERLINK \l "_bookmark18" </w:instrText>
      </w:r>
      <w:r>
        <w:fldChar w:fldCharType="separate"/>
      </w:r>
      <w:r>
        <w:rPr>
          <w:color w:val="0000FF"/>
          <w:spacing w:val="7"/>
          <w:sz w:val="24"/>
          <w:u w:val="single" w:color="0000FF"/>
        </w:rPr>
        <w:t>《</w:t>
      </w:r>
      <w:r>
        <w:rPr>
          <w:color w:val="0000FF"/>
          <w:spacing w:val="7"/>
          <w:sz w:val="24"/>
          <w:u w:val="single" w:color="0000FF"/>
        </w:rPr>
        <w:fldChar w:fldCharType="end"/>
      </w:r>
      <w:r>
        <w:fldChar w:fldCharType="begin"/>
      </w:r>
      <w:r>
        <w:instrText xml:space="preserve"> HYPERLINK \l "_bookmark18" </w:instrText>
      </w:r>
      <w:r>
        <w:fldChar w:fldCharType="separate"/>
      </w:r>
      <w:r>
        <w:rPr>
          <w:color w:val="0000FF"/>
          <w:spacing w:val="3"/>
          <w:sz w:val="24"/>
          <w:u w:val="single" w:color="0000FF"/>
        </w:rPr>
        <w:t>财政部国家税务总局关于企业重组业务企业所得税处理若干问题的通</w:t>
      </w:r>
      <w:r>
        <w:rPr>
          <w:color w:val="0000FF"/>
          <w:spacing w:val="3"/>
          <w:sz w:val="24"/>
          <w:u w:val="single" w:color="0000FF"/>
        </w:rPr>
        <w:fldChar w:fldCharType="end"/>
      </w:r>
      <w:r>
        <w:rPr>
          <w:color w:val="0000FF"/>
          <w:spacing w:val="-231"/>
          <w:sz w:val="24"/>
          <w:u w:val="single" w:color="0000FF"/>
        </w:rPr>
        <w:t>知》</w:t>
      </w:r>
      <w:r>
        <w:rPr>
          <w:color w:val="0000FF"/>
          <w:sz w:val="24"/>
          <w:u w:val="single" w:color="0000FF"/>
        </w:rPr>
        <w:t>（财税〔2009〕59</w:t>
      </w:r>
      <w:r>
        <w:rPr>
          <w:color w:val="0000FF"/>
          <w:spacing w:val="-6"/>
          <w:sz w:val="24"/>
          <w:u w:val="single" w:color="0000FF"/>
        </w:rPr>
        <w:t xml:space="preserve"> 号</w:t>
      </w:r>
      <w:r>
        <w:rPr>
          <w:color w:val="0000FF"/>
          <w:sz w:val="24"/>
          <w:u w:val="single" w:color="0000FF"/>
        </w:rPr>
        <w:t>）</w:t>
      </w:r>
    </w:p>
    <w:p>
      <w:pPr>
        <w:pStyle w:val="8"/>
        <w:numPr>
          <w:ilvl w:val="0"/>
          <w:numId w:val="27"/>
        </w:numPr>
        <w:tabs>
          <w:tab w:val="left" w:pos="2481"/>
        </w:tabs>
        <w:spacing w:before="1" w:after="0" w:line="240" w:lineRule="auto"/>
        <w:ind w:left="2480" w:right="0" w:hanging="201"/>
        <w:jc w:val="left"/>
        <w:rPr>
          <w:sz w:val="24"/>
        </w:rPr>
      </w:pPr>
      <w:r>
        <w:fldChar w:fldCharType="begin"/>
      </w:r>
      <w:r>
        <w:instrText xml:space="preserve"> HYPERLINK \l "_bookmark19" </w:instrText>
      </w:r>
      <w:r>
        <w:fldChar w:fldCharType="separate"/>
      </w:r>
      <w:r>
        <w:rPr>
          <w:color w:val="0000FF"/>
          <w:sz w:val="24"/>
          <w:u w:val="single" w:color="0000FF"/>
        </w:rPr>
        <w:t>《</w:t>
      </w:r>
      <w:r>
        <w:rPr>
          <w:color w:val="0000FF"/>
          <w:sz w:val="24"/>
          <w:u w:val="single" w:color="0000FF"/>
        </w:rPr>
        <w:fldChar w:fldCharType="end"/>
      </w:r>
      <w:r>
        <w:fldChar w:fldCharType="begin"/>
      </w:r>
      <w:r>
        <w:instrText xml:space="preserve"> HYPERLINK \l "_bookmark19" </w:instrText>
      </w:r>
      <w:r>
        <w:fldChar w:fldCharType="separate"/>
      </w:r>
      <w:r>
        <w:rPr>
          <w:color w:val="0000FF"/>
          <w:sz w:val="24"/>
          <w:u w:val="single" w:color="0000FF"/>
        </w:rPr>
        <w:t>国家税务总局关于发布&lt;企业重组业务企业所得税管理办法&gt;的公告》</w:t>
      </w:r>
      <w:r>
        <w:rPr>
          <w:color w:val="0000FF"/>
          <w:sz w:val="24"/>
          <w:u w:val="single" w:color="0000FF"/>
        </w:rPr>
        <w:fldChar w:fldCharType="end"/>
      </w:r>
    </w:p>
    <w:p>
      <w:pPr>
        <w:pStyle w:val="3"/>
        <w:spacing w:before="181"/>
        <w:rPr>
          <w:rFonts w:hint="eastAsia" w:ascii="微软雅黑" w:eastAsia="微软雅黑"/>
        </w:rPr>
      </w:pPr>
      <w:r>
        <w:rPr>
          <w:rFonts w:hint="eastAsia" w:ascii="微软雅黑" w:eastAsia="微软雅黑"/>
          <w:color w:val="0000FF"/>
          <w:u w:val="single" w:color="0000FF"/>
        </w:rPr>
        <w:t>（国家税务总局公告 2010 年第 4 号）</w:t>
      </w:r>
    </w:p>
    <w:p>
      <w:pPr>
        <w:pStyle w:val="8"/>
        <w:numPr>
          <w:ilvl w:val="0"/>
          <w:numId w:val="27"/>
        </w:numPr>
        <w:tabs>
          <w:tab w:val="left" w:pos="2484"/>
        </w:tabs>
        <w:spacing w:before="182" w:after="0" w:line="338" w:lineRule="auto"/>
        <w:ind w:left="1800" w:right="1797" w:firstLine="480"/>
        <w:jc w:val="left"/>
        <w:rPr>
          <w:sz w:val="24"/>
        </w:rPr>
      </w:pPr>
      <w:r>
        <w:fldChar w:fldCharType="begin"/>
      </w:r>
      <w:r>
        <w:instrText xml:space="preserve"> HYPERLINK \l "_bookmark20" </w:instrText>
      </w:r>
      <w:r>
        <w:fldChar w:fldCharType="separate"/>
      </w:r>
      <w:r>
        <w:rPr>
          <w:color w:val="0000FF"/>
          <w:spacing w:val="7"/>
          <w:sz w:val="24"/>
          <w:u w:val="single" w:color="0000FF"/>
        </w:rPr>
        <w:t>《</w:t>
      </w:r>
      <w:r>
        <w:rPr>
          <w:color w:val="0000FF"/>
          <w:spacing w:val="7"/>
          <w:sz w:val="24"/>
          <w:u w:val="single" w:color="0000FF"/>
        </w:rPr>
        <w:fldChar w:fldCharType="end"/>
      </w:r>
      <w:r>
        <w:fldChar w:fldCharType="begin"/>
      </w:r>
      <w:r>
        <w:instrText xml:space="preserve"> HYPERLINK \l "_bookmark20" </w:instrText>
      </w:r>
      <w:r>
        <w:fldChar w:fldCharType="separate"/>
      </w:r>
      <w:r>
        <w:rPr>
          <w:color w:val="0000FF"/>
          <w:spacing w:val="3"/>
          <w:sz w:val="24"/>
          <w:u w:val="single" w:color="0000FF"/>
        </w:rPr>
        <w:t>财政部国家税务总局关于促进企业重组有关企业所得税处理问题的通</w:t>
      </w:r>
      <w:r>
        <w:rPr>
          <w:color w:val="0000FF"/>
          <w:spacing w:val="3"/>
          <w:sz w:val="24"/>
          <w:u w:val="single" w:color="0000FF"/>
        </w:rPr>
        <w:fldChar w:fldCharType="end"/>
      </w:r>
      <w:r>
        <w:rPr>
          <w:color w:val="0000FF"/>
          <w:spacing w:val="-231"/>
          <w:sz w:val="24"/>
          <w:u w:val="single" w:color="0000FF"/>
        </w:rPr>
        <w:t>知》</w:t>
      </w:r>
      <w:r>
        <w:rPr>
          <w:color w:val="0000FF"/>
          <w:sz w:val="24"/>
          <w:u w:val="single" w:color="0000FF"/>
        </w:rPr>
        <w:t>（财税〔2014〕109</w:t>
      </w:r>
      <w:r>
        <w:rPr>
          <w:color w:val="0000FF"/>
          <w:spacing w:val="-7"/>
          <w:sz w:val="24"/>
          <w:u w:val="single" w:color="0000FF"/>
        </w:rPr>
        <w:t xml:space="preserve"> 号</w:t>
      </w:r>
      <w:r>
        <w:rPr>
          <w:color w:val="0000FF"/>
          <w:sz w:val="24"/>
          <w:u w:val="single" w:color="0000FF"/>
        </w:rPr>
        <w:t>）</w:t>
      </w:r>
    </w:p>
    <w:p>
      <w:pPr>
        <w:pStyle w:val="8"/>
        <w:numPr>
          <w:ilvl w:val="0"/>
          <w:numId w:val="27"/>
        </w:numPr>
        <w:tabs>
          <w:tab w:val="left" w:pos="2481"/>
        </w:tabs>
        <w:spacing w:before="0" w:after="0" w:line="240" w:lineRule="auto"/>
        <w:ind w:left="2480" w:right="0" w:hanging="201"/>
        <w:jc w:val="left"/>
        <w:rPr>
          <w:sz w:val="24"/>
        </w:rPr>
      </w:pPr>
      <w:r>
        <w:fldChar w:fldCharType="begin"/>
      </w:r>
      <w:r>
        <w:instrText xml:space="preserve"> HYPERLINK \l "_bookmark21" </w:instrText>
      </w:r>
      <w:r>
        <w:fldChar w:fldCharType="separate"/>
      </w:r>
      <w:r>
        <w:rPr>
          <w:color w:val="0000FF"/>
          <w:sz w:val="24"/>
          <w:u w:val="single" w:color="0000FF"/>
        </w:rPr>
        <w:t>《国家税务总局关于企业重组业务企业所得税</w:t>
      </w:r>
      <w:r>
        <w:rPr>
          <w:color w:val="0000FF"/>
          <w:sz w:val="24"/>
          <w:u w:val="single" w:color="0000FF"/>
        </w:rPr>
        <w:fldChar w:fldCharType="end"/>
      </w:r>
      <w:r>
        <w:fldChar w:fldCharType="begin"/>
      </w:r>
      <w:r>
        <w:instrText xml:space="preserve"> HYPERLINK \l "_bookmark21" </w:instrText>
      </w:r>
      <w:r>
        <w:fldChar w:fldCharType="separate"/>
      </w:r>
      <w:r>
        <w:rPr>
          <w:color w:val="0000FF"/>
          <w:sz w:val="24"/>
          <w:u w:val="single" w:color="0000FF"/>
        </w:rPr>
        <w:t>征收管理若干问题的公告》</w:t>
      </w:r>
      <w:r>
        <w:rPr>
          <w:color w:val="0000FF"/>
          <w:sz w:val="24"/>
          <w:u w:val="single" w:color="0000FF"/>
        </w:rPr>
        <w:fldChar w:fldCharType="end"/>
      </w:r>
    </w:p>
    <w:p>
      <w:pPr>
        <w:pStyle w:val="3"/>
        <w:spacing w:before="182"/>
        <w:rPr>
          <w:rFonts w:hint="eastAsia" w:ascii="微软雅黑" w:eastAsia="微软雅黑"/>
        </w:rPr>
      </w:pPr>
      <w:r>
        <w:rPr>
          <w:rFonts w:hint="eastAsia" w:ascii="微软雅黑" w:eastAsia="微软雅黑"/>
          <w:color w:val="0000FF"/>
          <w:u w:val="single" w:color="0000FF"/>
        </w:rPr>
        <w:t>（国家税务总局公告 2015 年第 48 号）</w:t>
      </w:r>
    </w:p>
    <w:p>
      <w:pPr>
        <w:spacing w:after="0"/>
        <w:rPr>
          <w:rFonts w:hint="eastAsia" w:ascii="微软雅黑" w:eastAsia="微软雅黑"/>
        </w:rPr>
        <w:sectPr>
          <w:footerReference r:id="rId8" w:type="default"/>
          <w:pgSz w:w="11910" w:h="16840"/>
          <w:pgMar w:top="1540" w:right="0" w:bottom="1380" w:left="0" w:header="965" w:footer="1182" w:gutter="0"/>
          <w:pgNumType w:start="20"/>
          <w:cols w:space="720" w:num="1"/>
        </w:sectPr>
      </w:pPr>
    </w:p>
    <w:p>
      <w:pPr>
        <w:pStyle w:val="3"/>
        <w:spacing w:before="0"/>
        <w:ind w:left="0"/>
        <w:rPr>
          <w:rFonts w:ascii="微软雅黑"/>
          <w:sz w:val="20"/>
        </w:rPr>
      </w:pPr>
    </w:p>
    <w:p>
      <w:pPr>
        <w:pStyle w:val="3"/>
        <w:spacing w:before="8"/>
        <w:ind w:left="0"/>
        <w:rPr>
          <w:rFonts w:ascii="微软雅黑"/>
        </w:rPr>
      </w:pPr>
    </w:p>
    <w:p>
      <w:pPr>
        <w:spacing w:before="37"/>
        <w:ind w:left="2280" w:right="0" w:firstLine="0"/>
        <w:jc w:val="left"/>
        <w:outlineLvl w:val="1"/>
        <w:rPr>
          <w:rFonts w:hint="eastAsia" w:ascii="微软雅黑" w:eastAsia="微软雅黑"/>
          <w:b/>
          <w:sz w:val="24"/>
        </w:rPr>
      </w:pPr>
      <w:r>
        <w:rPr>
          <w:rFonts w:hint="eastAsia" w:ascii="微软雅黑" w:eastAsia="微软雅黑"/>
          <w:b/>
          <w:color w:val="333333"/>
          <w:sz w:val="24"/>
        </w:rPr>
        <w:t>（四）资产收购</w:t>
      </w:r>
    </w:p>
    <w:p>
      <w:pPr>
        <w:spacing w:before="182"/>
        <w:ind w:left="2280" w:right="0" w:firstLine="0"/>
        <w:jc w:val="left"/>
        <w:rPr>
          <w:rFonts w:hint="eastAsia" w:ascii="微软雅黑" w:eastAsia="微软雅黑"/>
          <w:b/>
          <w:sz w:val="24"/>
        </w:rPr>
      </w:pPr>
      <w:r>
        <w:rPr>
          <w:rFonts w:hint="eastAsia" w:ascii="微软雅黑" w:eastAsia="微软雅黑"/>
          <w:b/>
          <w:color w:val="333333"/>
          <w:sz w:val="24"/>
        </w:rPr>
        <w:t>【适用主体】</w:t>
      </w:r>
    </w:p>
    <w:p>
      <w:pPr>
        <w:pStyle w:val="3"/>
        <w:spacing w:before="181"/>
        <w:ind w:left="2280"/>
        <w:rPr>
          <w:rFonts w:hint="eastAsia" w:ascii="微软雅黑" w:eastAsia="微软雅黑"/>
        </w:rPr>
      </w:pPr>
      <w:r>
        <w:rPr>
          <w:rFonts w:hint="eastAsia" w:ascii="微软雅黑" w:eastAsia="微软雅黑"/>
          <w:color w:val="333333"/>
        </w:rPr>
        <w:t>所有企业</w:t>
      </w:r>
    </w:p>
    <w:p>
      <w:pPr>
        <w:spacing w:before="182"/>
        <w:ind w:left="2280" w:right="0" w:firstLine="0"/>
        <w:jc w:val="left"/>
        <w:rPr>
          <w:rFonts w:hint="eastAsia" w:ascii="微软雅黑" w:eastAsia="微软雅黑"/>
          <w:b/>
          <w:sz w:val="24"/>
        </w:rPr>
      </w:pPr>
      <w:r>
        <w:rPr>
          <w:rFonts w:hint="eastAsia" w:ascii="微软雅黑" w:eastAsia="微软雅黑"/>
          <w:b/>
          <w:color w:val="333333"/>
          <w:sz w:val="24"/>
        </w:rPr>
        <w:t>【政策内容】</w:t>
      </w:r>
    </w:p>
    <w:p>
      <w:pPr>
        <w:pStyle w:val="8"/>
        <w:numPr>
          <w:ilvl w:val="0"/>
          <w:numId w:val="28"/>
        </w:numPr>
        <w:tabs>
          <w:tab w:val="left" w:pos="2481"/>
        </w:tabs>
        <w:spacing w:before="182" w:after="0" w:line="240" w:lineRule="auto"/>
        <w:ind w:left="2480" w:right="0" w:hanging="201"/>
        <w:jc w:val="left"/>
        <w:rPr>
          <w:sz w:val="24"/>
        </w:rPr>
      </w:pPr>
      <w:r>
        <w:rPr>
          <w:color w:val="333333"/>
          <w:sz w:val="24"/>
        </w:rPr>
        <w:t>资产收购的当事各方：收购方、转让方。</w:t>
      </w:r>
    </w:p>
    <w:p>
      <w:pPr>
        <w:pStyle w:val="8"/>
        <w:numPr>
          <w:ilvl w:val="0"/>
          <w:numId w:val="28"/>
        </w:numPr>
        <w:tabs>
          <w:tab w:val="left" w:pos="2481"/>
        </w:tabs>
        <w:spacing w:before="181" w:after="0" w:line="240" w:lineRule="auto"/>
        <w:ind w:left="2480" w:right="0" w:hanging="201"/>
        <w:jc w:val="left"/>
        <w:rPr>
          <w:sz w:val="24"/>
        </w:rPr>
      </w:pPr>
      <w:r>
        <w:rPr>
          <w:color w:val="333333"/>
          <w:sz w:val="24"/>
        </w:rPr>
        <w:t>资产收购的主导方：资产转让方。</w:t>
      </w:r>
    </w:p>
    <w:p>
      <w:pPr>
        <w:pStyle w:val="8"/>
        <w:numPr>
          <w:ilvl w:val="0"/>
          <w:numId w:val="28"/>
        </w:numPr>
        <w:tabs>
          <w:tab w:val="left" w:pos="2481"/>
        </w:tabs>
        <w:spacing w:before="182" w:after="0" w:line="240" w:lineRule="auto"/>
        <w:ind w:left="2480" w:right="0" w:hanging="201"/>
        <w:jc w:val="left"/>
        <w:rPr>
          <w:sz w:val="24"/>
        </w:rPr>
      </w:pPr>
      <w:r>
        <w:rPr>
          <w:color w:val="333333"/>
          <w:sz w:val="24"/>
        </w:rPr>
        <w:t>处理规定</w:t>
      </w:r>
    </w:p>
    <w:p>
      <w:pPr>
        <w:pStyle w:val="3"/>
        <w:spacing w:before="182"/>
        <w:ind w:left="2280"/>
        <w:rPr>
          <w:rFonts w:hint="eastAsia" w:ascii="微软雅黑" w:eastAsia="微软雅黑"/>
        </w:rPr>
      </w:pPr>
      <w:r>
        <w:pict>
          <v:shape id="_x0000_s1052" o:spid="_x0000_s1052" o:spt="136" type="#_x0000_t136" style="position:absolute;left:0pt;margin-left:41.25pt;margin-top:32.6pt;height:132pt;width:528.05pt;mso-position-horizontal-relative:page;rotation:20643840f;z-index:-251629568;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eastAsia="微软雅黑"/>
          <w:color w:val="333333"/>
        </w:rPr>
        <w:t>资产收购分为一般性税务处理与特殊性税务处理规定。</w:t>
      </w:r>
    </w:p>
    <w:p>
      <w:pPr>
        <w:pStyle w:val="8"/>
        <w:numPr>
          <w:ilvl w:val="0"/>
          <w:numId w:val="29"/>
        </w:numPr>
        <w:tabs>
          <w:tab w:val="left" w:pos="2901"/>
        </w:tabs>
        <w:spacing w:before="181" w:after="0" w:line="240" w:lineRule="auto"/>
        <w:ind w:left="2900" w:right="0" w:hanging="621"/>
        <w:jc w:val="left"/>
        <w:rPr>
          <w:sz w:val="24"/>
        </w:rPr>
      </w:pPr>
      <w:r>
        <w:rPr>
          <w:color w:val="333333"/>
          <w:sz w:val="24"/>
        </w:rPr>
        <w:t>一般性税务处理规定</w:t>
      </w:r>
    </w:p>
    <w:p>
      <w:pPr>
        <w:pStyle w:val="3"/>
        <w:spacing w:before="182" w:line="338" w:lineRule="auto"/>
        <w:ind w:right="1797" w:firstLine="480"/>
        <w:rPr>
          <w:rFonts w:hint="eastAsia" w:ascii="微软雅黑" w:eastAsia="微软雅黑"/>
        </w:rPr>
      </w:pPr>
      <w:r>
        <w:rPr>
          <w:rFonts w:hint="eastAsia" w:ascii="微软雅黑" w:eastAsia="微软雅黑"/>
          <w:color w:val="333333"/>
          <w:spacing w:val="-7"/>
        </w:rPr>
        <w:t>转让方按规定确认资产转让所得或损失。收购方对取得的资产以其公允价值</w:t>
      </w:r>
      <w:r>
        <w:rPr>
          <w:rFonts w:hint="eastAsia" w:ascii="微软雅黑" w:eastAsia="微软雅黑"/>
          <w:color w:val="333333"/>
        </w:rPr>
        <w:t>确定计税基础。</w:t>
      </w:r>
    </w:p>
    <w:p>
      <w:pPr>
        <w:pStyle w:val="8"/>
        <w:numPr>
          <w:ilvl w:val="0"/>
          <w:numId w:val="29"/>
        </w:numPr>
        <w:tabs>
          <w:tab w:val="left" w:pos="2901"/>
        </w:tabs>
        <w:spacing w:before="0" w:after="0" w:line="240" w:lineRule="auto"/>
        <w:ind w:left="2900" w:right="0" w:hanging="621"/>
        <w:jc w:val="left"/>
        <w:rPr>
          <w:sz w:val="24"/>
        </w:rPr>
      </w:pPr>
      <w:r>
        <w:rPr>
          <w:color w:val="333333"/>
          <w:sz w:val="24"/>
        </w:rPr>
        <w:t>特殊性税务处理规定</w:t>
      </w:r>
    </w:p>
    <w:p>
      <w:pPr>
        <w:pStyle w:val="3"/>
        <w:spacing w:before="182" w:line="338" w:lineRule="auto"/>
        <w:ind w:right="1797" w:firstLine="480"/>
        <w:rPr>
          <w:rFonts w:hint="eastAsia" w:ascii="微软雅黑" w:hAnsi="微软雅黑" w:eastAsia="微软雅黑"/>
        </w:rPr>
      </w:pPr>
      <w:r>
        <w:rPr>
          <w:rFonts w:hint="eastAsia" w:ascii="微软雅黑" w:hAnsi="微软雅黑" w:eastAsia="微软雅黑"/>
          <w:color w:val="333333"/>
          <w:spacing w:val="-5"/>
        </w:rPr>
        <w:t>①转让方从受让方取得的对价中的股权支付部分暂不确认所得或损失，非股</w:t>
      </w:r>
      <w:r>
        <w:rPr>
          <w:rFonts w:hint="eastAsia" w:ascii="微软雅黑" w:hAnsi="微软雅黑" w:eastAsia="微软雅黑"/>
          <w:color w:val="333333"/>
        </w:rPr>
        <w:t>权支付部分应计算确认当期所得或损失。</w:t>
      </w:r>
    </w:p>
    <w:p>
      <w:pPr>
        <w:pStyle w:val="3"/>
        <w:spacing w:before="0" w:line="338" w:lineRule="auto"/>
        <w:ind w:right="1797" w:firstLine="480"/>
        <w:jc w:val="both"/>
        <w:rPr>
          <w:rFonts w:hint="eastAsia" w:ascii="微软雅黑" w:hAnsi="微软雅黑" w:eastAsia="微软雅黑"/>
        </w:rPr>
      </w:pPr>
      <w:r>
        <w:rPr>
          <w:rFonts w:hint="eastAsia" w:ascii="微软雅黑" w:hAnsi="微软雅黑" w:eastAsia="微软雅黑"/>
          <w:color w:val="333333"/>
          <w:spacing w:val="-6"/>
        </w:rPr>
        <w:t>②收购方暂不确认股权支付部分的转让所得或损失，对取得的转让企业资产</w:t>
      </w:r>
      <w:r>
        <w:rPr>
          <w:rFonts w:hint="eastAsia" w:ascii="微软雅黑" w:hAnsi="微软雅黑" w:eastAsia="微软雅黑"/>
          <w:color w:val="333333"/>
          <w:spacing w:val="-10"/>
        </w:rPr>
        <w:t>的计税基础，以被转让资产的原有计税基础确定。若受让方支付的对价中包含非股权支付部分，该部分应在交易当期确认相应的资产转让所得或损失，并调整被</w:t>
      </w:r>
      <w:r>
        <w:rPr>
          <w:rFonts w:hint="eastAsia" w:ascii="微软雅黑" w:hAnsi="微软雅黑" w:eastAsia="微软雅黑"/>
          <w:color w:val="333333"/>
        </w:rPr>
        <w:t>转让资产的计税基础。</w:t>
      </w:r>
    </w:p>
    <w:p>
      <w:pPr>
        <w:spacing w:before="1"/>
        <w:ind w:left="2280" w:right="0" w:firstLine="0"/>
        <w:jc w:val="left"/>
        <w:rPr>
          <w:rFonts w:hint="eastAsia" w:ascii="微软雅黑" w:eastAsia="微软雅黑"/>
          <w:b/>
          <w:sz w:val="24"/>
        </w:rPr>
      </w:pPr>
      <w:r>
        <w:rPr>
          <w:rFonts w:hint="eastAsia" w:ascii="微软雅黑" w:eastAsia="微软雅黑"/>
          <w:b/>
          <w:color w:val="333333"/>
          <w:sz w:val="24"/>
        </w:rPr>
        <w:t>【适用条件】</w:t>
      </w:r>
    </w:p>
    <w:p>
      <w:pPr>
        <w:pStyle w:val="3"/>
        <w:spacing w:before="182"/>
        <w:ind w:left="2280"/>
        <w:rPr>
          <w:rFonts w:hint="eastAsia" w:ascii="微软雅黑" w:eastAsia="微软雅黑"/>
        </w:rPr>
      </w:pPr>
      <w:r>
        <w:rPr>
          <w:rFonts w:hint="eastAsia" w:ascii="微软雅黑" w:eastAsia="微软雅黑"/>
          <w:color w:val="333333"/>
        </w:rPr>
        <w:t>资产收购适用特殊性处税务处理的条件包括：</w:t>
      </w:r>
    </w:p>
    <w:p>
      <w:pPr>
        <w:pStyle w:val="8"/>
        <w:numPr>
          <w:ilvl w:val="0"/>
          <w:numId w:val="30"/>
        </w:numPr>
        <w:tabs>
          <w:tab w:val="left" w:pos="2481"/>
        </w:tabs>
        <w:spacing w:before="182" w:after="0" w:line="240" w:lineRule="auto"/>
        <w:ind w:left="2480" w:right="0" w:hanging="201"/>
        <w:jc w:val="left"/>
        <w:rPr>
          <w:sz w:val="24"/>
        </w:rPr>
      </w:pPr>
      <w:r>
        <w:rPr>
          <w:color w:val="333333"/>
          <w:sz w:val="24"/>
        </w:rPr>
        <w:t>具有合理的商业目的，且不以减少、免除或者推迟缴纳税款为主要目的。</w:t>
      </w:r>
    </w:p>
    <w:p>
      <w:pPr>
        <w:spacing w:after="0" w:line="240" w:lineRule="auto"/>
        <w:jc w:val="left"/>
        <w:rPr>
          <w:sz w:val="24"/>
        </w:rPr>
        <w:sectPr>
          <w:pgSz w:w="11910" w:h="16840"/>
          <w:pgMar w:top="1540" w:right="0" w:bottom="1380" w:left="0" w:header="965" w:footer="1182" w:gutter="0"/>
          <w:cols w:space="720" w:num="1"/>
        </w:sectPr>
      </w:pPr>
    </w:p>
    <w:p>
      <w:pPr>
        <w:pStyle w:val="3"/>
        <w:spacing w:before="11"/>
        <w:ind w:left="0"/>
        <w:rPr>
          <w:rFonts w:ascii="微软雅黑"/>
          <w:sz w:val="10"/>
        </w:rPr>
      </w:pPr>
    </w:p>
    <w:p>
      <w:pPr>
        <w:pStyle w:val="8"/>
        <w:numPr>
          <w:ilvl w:val="0"/>
          <w:numId w:val="30"/>
        </w:numPr>
        <w:tabs>
          <w:tab w:val="left" w:pos="2481"/>
        </w:tabs>
        <w:spacing w:before="37" w:after="0" w:line="240" w:lineRule="auto"/>
        <w:ind w:left="2480" w:right="0" w:hanging="201"/>
        <w:jc w:val="left"/>
        <w:rPr>
          <w:sz w:val="24"/>
        </w:rPr>
      </w:pPr>
      <w:r>
        <w:rPr>
          <w:color w:val="333333"/>
          <w:sz w:val="24"/>
        </w:rPr>
        <w:t>受让企业（收购方）</w:t>
      </w:r>
      <w:r>
        <w:rPr>
          <w:color w:val="333333"/>
          <w:spacing w:val="-1"/>
          <w:sz w:val="24"/>
        </w:rPr>
        <w:t xml:space="preserve">所收购的资产不低于转让企业全部资产的 </w:t>
      </w:r>
      <w:r>
        <w:rPr>
          <w:color w:val="333333"/>
          <w:sz w:val="24"/>
        </w:rPr>
        <w:t>50%</w:t>
      </w:r>
    </w:p>
    <w:p>
      <w:pPr>
        <w:pStyle w:val="8"/>
        <w:numPr>
          <w:ilvl w:val="0"/>
          <w:numId w:val="30"/>
        </w:numPr>
        <w:tabs>
          <w:tab w:val="left" w:pos="2481"/>
        </w:tabs>
        <w:spacing w:before="182" w:after="0" w:line="240" w:lineRule="auto"/>
        <w:ind w:left="2480" w:right="0" w:hanging="201"/>
        <w:jc w:val="left"/>
        <w:rPr>
          <w:sz w:val="24"/>
        </w:rPr>
      </w:pPr>
      <w:r>
        <w:rPr>
          <w:color w:val="333333"/>
          <w:spacing w:val="-2"/>
          <w:sz w:val="24"/>
        </w:rPr>
        <w:t xml:space="preserve">企业重组后的连续 </w:t>
      </w:r>
      <w:r>
        <w:rPr>
          <w:color w:val="333333"/>
          <w:sz w:val="24"/>
        </w:rPr>
        <w:t>12</w:t>
      </w:r>
      <w:r>
        <w:rPr>
          <w:color w:val="333333"/>
          <w:spacing w:val="-3"/>
          <w:sz w:val="24"/>
        </w:rPr>
        <w:t xml:space="preserve"> 个月内不改变重组资产原来的实质性经营活动。</w:t>
      </w:r>
    </w:p>
    <w:p>
      <w:pPr>
        <w:pStyle w:val="8"/>
        <w:numPr>
          <w:ilvl w:val="0"/>
          <w:numId w:val="30"/>
        </w:numPr>
        <w:tabs>
          <w:tab w:val="left" w:pos="2484"/>
        </w:tabs>
        <w:spacing w:before="181" w:after="0" w:line="240" w:lineRule="auto"/>
        <w:ind w:left="2484" w:right="0" w:hanging="204"/>
        <w:jc w:val="left"/>
        <w:rPr>
          <w:sz w:val="24"/>
        </w:rPr>
      </w:pPr>
      <w:r>
        <w:rPr>
          <w:color w:val="333333"/>
          <w:spacing w:val="3"/>
          <w:sz w:val="24"/>
        </w:rPr>
        <w:t>受让企业在该资产收购发生时的股权支付金额不低于其交易支付总额的</w:t>
      </w:r>
    </w:p>
    <w:p>
      <w:pPr>
        <w:pStyle w:val="3"/>
        <w:spacing w:before="182"/>
        <w:rPr>
          <w:rFonts w:hint="eastAsia" w:ascii="微软雅黑" w:eastAsia="微软雅黑"/>
        </w:rPr>
      </w:pPr>
      <w:r>
        <w:rPr>
          <w:rFonts w:hint="eastAsia" w:ascii="微软雅黑" w:eastAsia="微软雅黑"/>
          <w:color w:val="333333"/>
        </w:rPr>
        <w:t>85%。</w:t>
      </w:r>
    </w:p>
    <w:p>
      <w:pPr>
        <w:pStyle w:val="8"/>
        <w:numPr>
          <w:ilvl w:val="0"/>
          <w:numId w:val="30"/>
        </w:numPr>
        <w:tabs>
          <w:tab w:val="left" w:pos="2481"/>
        </w:tabs>
        <w:spacing w:before="181" w:after="0" w:line="240" w:lineRule="auto"/>
        <w:ind w:left="2480" w:right="0" w:hanging="201"/>
        <w:jc w:val="left"/>
        <w:rPr>
          <w:sz w:val="24"/>
        </w:rPr>
      </w:pPr>
      <w:r>
        <w:rPr>
          <w:color w:val="333333"/>
          <w:spacing w:val="-3"/>
          <w:sz w:val="24"/>
        </w:rPr>
        <w:t>企业重组中取得股权支付的原主要股东</w:t>
      </w:r>
      <w:r>
        <w:rPr>
          <w:color w:val="333333"/>
          <w:sz w:val="24"/>
        </w:rPr>
        <w:t>（指原持有转让企业或被收购企业</w:t>
      </w:r>
    </w:p>
    <w:p>
      <w:pPr>
        <w:pStyle w:val="3"/>
        <w:spacing w:before="182"/>
        <w:rPr>
          <w:rFonts w:hint="eastAsia" w:ascii="微软雅黑" w:eastAsia="微软雅黑"/>
        </w:rPr>
      </w:pPr>
      <w:r>
        <w:rPr>
          <w:rFonts w:hint="eastAsia" w:ascii="微软雅黑" w:eastAsia="微软雅黑"/>
          <w:color w:val="333333"/>
        </w:rPr>
        <w:t>20%以上股权的股东），在重组后连续 12 个月内，不得转让所取得的股权。</w:t>
      </w:r>
    </w:p>
    <w:p>
      <w:pPr>
        <w:spacing w:before="182"/>
        <w:ind w:left="2280" w:right="0" w:firstLine="0"/>
        <w:jc w:val="left"/>
        <w:rPr>
          <w:rFonts w:hint="eastAsia" w:ascii="微软雅黑" w:eastAsia="微软雅黑"/>
          <w:b/>
          <w:sz w:val="24"/>
        </w:rPr>
      </w:pPr>
      <w:r>
        <w:rPr>
          <w:rFonts w:hint="eastAsia" w:ascii="微软雅黑" w:eastAsia="微软雅黑"/>
          <w:b/>
          <w:color w:val="333333"/>
          <w:sz w:val="24"/>
        </w:rPr>
        <w:t>【备查资料】</w:t>
      </w:r>
      <w:r>
        <w:rPr>
          <w:rFonts w:hint="eastAsia" w:ascii="微软雅黑" w:eastAsia="微软雅黑"/>
          <w:b/>
          <w:sz w:val="24"/>
        </w:rPr>
        <w:t>【备案资料】</w:t>
      </w:r>
    </w:p>
    <w:p>
      <w:pPr>
        <w:pStyle w:val="3"/>
        <w:spacing w:before="181"/>
        <w:ind w:left="2280"/>
        <w:rPr>
          <w:rFonts w:hint="eastAsia" w:ascii="微软雅黑" w:eastAsia="微软雅黑"/>
        </w:rPr>
      </w:pPr>
      <w:r>
        <w:rPr>
          <w:rFonts w:hint="eastAsia" w:ascii="微软雅黑" w:eastAsia="微软雅黑"/>
          <w:color w:val="333333"/>
        </w:rPr>
        <w:t>1.适用一般性税务处理的留存备查资料</w:t>
      </w:r>
    </w:p>
    <w:p>
      <w:pPr>
        <w:pStyle w:val="8"/>
        <w:numPr>
          <w:ilvl w:val="0"/>
          <w:numId w:val="31"/>
        </w:numPr>
        <w:tabs>
          <w:tab w:val="left" w:pos="2901"/>
        </w:tabs>
        <w:spacing w:before="182" w:after="0" w:line="240" w:lineRule="auto"/>
        <w:ind w:left="2900" w:right="0" w:hanging="621"/>
        <w:jc w:val="left"/>
        <w:rPr>
          <w:sz w:val="24"/>
        </w:rPr>
      </w:pPr>
      <w:r>
        <w:pict>
          <v:shape id="_x0000_s1053" o:spid="_x0000_s1053" o:spt="136" type="#_x0000_t136" style="position:absolute;left:0pt;margin-left:41.25pt;margin-top:32.6pt;height:132pt;width:528.05pt;mso-position-horizontal-relative:page;rotation:20643840f;z-index:-251628544;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color w:val="333333"/>
          <w:sz w:val="24"/>
        </w:rPr>
        <w:t>当事各方所签订的股权收购、资产收购业务合同或协议；</w:t>
      </w:r>
    </w:p>
    <w:p>
      <w:pPr>
        <w:pStyle w:val="8"/>
        <w:numPr>
          <w:ilvl w:val="0"/>
          <w:numId w:val="31"/>
        </w:numPr>
        <w:tabs>
          <w:tab w:val="left" w:pos="2901"/>
        </w:tabs>
        <w:spacing w:before="181" w:after="0" w:line="338" w:lineRule="auto"/>
        <w:ind w:left="2280" w:right="4924" w:firstLine="0"/>
        <w:jc w:val="left"/>
        <w:rPr>
          <w:sz w:val="24"/>
        </w:rPr>
      </w:pPr>
      <w:r>
        <w:rPr>
          <w:color w:val="333333"/>
          <w:spacing w:val="-1"/>
          <w:sz w:val="24"/>
        </w:rPr>
        <w:t>相关股权、资产公允价值的合法证据。</w:t>
      </w:r>
      <w:r>
        <w:rPr>
          <w:color w:val="333333"/>
          <w:sz w:val="24"/>
        </w:rPr>
        <w:t>2.适用特殊性税务处理应报送的资料</w:t>
      </w:r>
    </w:p>
    <w:p>
      <w:pPr>
        <w:pStyle w:val="8"/>
        <w:numPr>
          <w:ilvl w:val="0"/>
          <w:numId w:val="32"/>
        </w:numPr>
        <w:tabs>
          <w:tab w:val="left" w:pos="2901"/>
        </w:tabs>
        <w:spacing w:before="1" w:after="0" w:line="240" w:lineRule="auto"/>
        <w:ind w:left="2900" w:right="0" w:hanging="621"/>
        <w:jc w:val="left"/>
        <w:rPr>
          <w:sz w:val="24"/>
        </w:rPr>
      </w:pPr>
      <w:r>
        <w:rPr>
          <w:color w:val="333333"/>
          <w:sz w:val="24"/>
        </w:rPr>
        <w:t>基本资料</w:t>
      </w:r>
    </w:p>
    <w:p>
      <w:pPr>
        <w:pStyle w:val="3"/>
        <w:spacing w:before="182" w:line="338" w:lineRule="auto"/>
        <w:ind w:right="1797" w:firstLine="480"/>
        <w:jc w:val="both"/>
        <w:rPr>
          <w:rFonts w:hint="eastAsia" w:ascii="微软雅黑" w:hAnsi="微软雅黑" w:eastAsia="微软雅黑"/>
        </w:rPr>
      </w:pPr>
      <w:r>
        <w:rPr>
          <w:rFonts w:hint="eastAsia" w:ascii="微软雅黑" w:hAnsi="微软雅黑" w:eastAsia="微软雅黑"/>
          <w:color w:val="333333"/>
          <w:spacing w:val="-6"/>
        </w:rPr>
        <w:t>①重组各方应在该重组业务完成当年，办理企业所得税年度申报时，分别向</w:t>
      </w:r>
      <w:r>
        <w:rPr>
          <w:rFonts w:hint="eastAsia" w:ascii="微软雅黑" w:hAnsi="微软雅黑" w:eastAsia="微软雅黑"/>
          <w:color w:val="333333"/>
          <w:spacing w:val="-8"/>
        </w:rPr>
        <w:t>各自主管税务机关报送《企业重组所得税特殊性税务处理报告表及附表》和其他</w:t>
      </w:r>
      <w:r>
        <w:rPr>
          <w:rFonts w:hint="eastAsia" w:ascii="微软雅黑" w:hAnsi="微软雅黑" w:eastAsia="微软雅黑"/>
          <w:color w:val="333333"/>
          <w:spacing w:val="-10"/>
        </w:rPr>
        <w:t>申报资料。重组主导方申报后，其他当事方向其主管税务机关办理纳税申报。申</w:t>
      </w:r>
      <w:r>
        <w:rPr>
          <w:rFonts w:hint="eastAsia" w:ascii="微软雅黑" w:hAnsi="微软雅黑" w:eastAsia="微软雅黑"/>
          <w:color w:val="333333"/>
          <w:spacing w:val="-6"/>
        </w:rPr>
        <w:t>报时还应附送重组主导方经主管税务机关受理的《企业重组所得税特殊性税务处</w:t>
      </w:r>
      <w:r>
        <w:rPr>
          <w:rFonts w:hint="eastAsia" w:ascii="微软雅黑" w:hAnsi="微软雅黑" w:eastAsia="微软雅黑"/>
          <w:color w:val="333333"/>
        </w:rPr>
        <w:t>理报告表及附表》（复印件）。</w:t>
      </w:r>
    </w:p>
    <w:p>
      <w:pPr>
        <w:pStyle w:val="3"/>
        <w:spacing w:line="338" w:lineRule="auto"/>
        <w:ind w:right="1797" w:firstLine="480"/>
        <w:jc w:val="both"/>
        <w:rPr>
          <w:rFonts w:hint="eastAsia" w:ascii="微软雅黑" w:hAnsi="微软雅黑" w:eastAsia="微软雅黑"/>
        </w:rPr>
      </w:pPr>
      <w:r>
        <w:rPr>
          <w:rFonts w:hint="eastAsia" w:ascii="微软雅黑" w:hAnsi="微软雅黑" w:eastAsia="微软雅黑"/>
          <w:color w:val="333333"/>
          <w:spacing w:val="-5"/>
        </w:rPr>
        <w:t>②当事各方应在完成重组业务后的下一年度的企业所得税年度申报时，向主</w:t>
      </w:r>
      <w:r>
        <w:rPr>
          <w:rFonts w:hint="eastAsia" w:ascii="微软雅黑" w:hAnsi="微软雅黑" w:eastAsia="微软雅黑"/>
          <w:color w:val="333333"/>
          <w:spacing w:val="-2"/>
        </w:rPr>
        <w:t xml:space="preserve">管税务机关提交书面情况说明，以证明企业在重组后的连续 </w:t>
      </w:r>
      <w:r>
        <w:rPr>
          <w:rFonts w:hint="eastAsia" w:ascii="微软雅黑" w:hAnsi="微软雅黑" w:eastAsia="微软雅黑"/>
          <w:color w:val="333333"/>
        </w:rPr>
        <w:t>12</w:t>
      </w:r>
      <w:r>
        <w:rPr>
          <w:rFonts w:hint="eastAsia" w:ascii="微软雅黑" w:hAnsi="微软雅黑" w:eastAsia="微软雅黑"/>
          <w:color w:val="333333"/>
          <w:spacing w:val="-7"/>
        </w:rPr>
        <w:t xml:space="preserve"> 个月内，有关符</w:t>
      </w:r>
      <w:r>
        <w:rPr>
          <w:rFonts w:hint="eastAsia" w:ascii="微软雅黑" w:hAnsi="微软雅黑" w:eastAsia="微软雅黑"/>
          <w:color w:val="333333"/>
        </w:rPr>
        <w:t>合特殊性税务处理的条件未发生改变。</w:t>
      </w:r>
    </w:p>
    <w:p>
      <w:pPr>
        <w:pStyle w:val="3"/>
        <w:spacing w:before="0"/>
        <w:ind w:left="0" w:right="1797"/>
        <w:jc w:val="right"/>
        <w:rPr>
          <w:rFonts w:hint="eastAsia" w:ascii="微软雅黑" w:hAnsi="微软雅黑" w:eastAsia="微软雅黑"/>
        </w:rPr>
      </w:pPr>
      <w:r>
        <w:rPr>
          <w:rFonts w:hint="eastAsia" w:ascii="微软雅黑" w:hAnsi="微软雅黑" w:eastAsia="微软雅黑"/>
          <w:color w:val="333333"/>
          <w:spacing w:val="-5"/>
        </w:rPr>
        <w:t>③企业重组业务适用特殊性税务处理的，申报时，当事各方还应向主管税务</w:t>
      </w:r>
    </w:p>
    <w:p>
      <w:pPr>
        <w:pStyle w:val="3"/>
        <w:spacing w:before="182"/>
        <w:ind w:left="0" w:right="1797"/>
        <w:jc w:val="right"/>
        <w:rPr>
          <w:rFonts w:hint="eastAsia" w:ascii="微软雅黑" w:eastAsia="微软雅黑"/>
        </w:rPr>
      </w:pPr>
      <w:r>
        <w:rPr>
          <w:rFonts w:hint="eastAsia" w:ascii="微软雅黑" w:eastAsia="微软雅黑"/>
          <w:color w:val="333333"/>
          <w:spacing w:val="-2"/>
        </w:rPr>
        <w:t xml:space="preserve">机关提交重组前连续 </w:t>
      </w:r>
      <w:r>
        <w:rPr>
          <w:rFonts w:hint="eastAsia" w:ascii="微软雅黑" w:eastAsia="微软雅黑"/>
          <w:color w:val="333333"/>
        </w:rPr>
        <w:t>12</w:t>
      </w:r>
      <w:r>
        <w:rPr>
          <w:rFonts w:hint="eastAsia" w:ascii="微软雅黑" w:eastAsia="微软雅黑"/>
          <w:color w:val="333333"/>
          <w:spacing w:val="-4"/>
        </w:rPr>
        <w:t xml:space="preserve"> 个月内有无与该重组相关的其他股权、资产交易情况的</w:t>
      </w:r>
    </w:p>
    <w:p>
      <w:pPr>
        <w:spacing w:after="0"/>
        <w:jc w:val="right"/>
        <w:rPr>
          <w:rFonts w:hint="eastAsia" w:ascii="微软雅黑" w:eastAsia="微软雅黑"/>
        </w:rPr>
        <w:sectPr>
          <w:pgSz w:w="11910" w:h="16840"/>
          <w:pgMar w:top="1540" w:right="0" w:bottom="1380" w:left="0" w:header="965" w:footer="1182" w:gutter="0"/>
          <w:cols w:space="720" w:num="1"/>
        </w:sectPr>
      </w:pPr>
    </w:p>
    <w:p>
      <w:pPr>
        <w:pStyle w:val="3"/>
        <w:spacing w:before="11"/>
        <w:ind w:left="0"/>
        <w:rPr>
          <w:rFonts w:ascii="微软雅黑"/>
          <w:sz w:val="10"/>
        </w:rPr>
      </w:pPr>
    </w:p>
    <w:p>
      <w:pPr>
        <w:pStyle w:val="3"/>
        <w:spacing w:before="37" w:line="338" w:lineRule="auto"/>
        <w:ind w:right="1797"/>
        <w:rPr>
          <w:rFonts w:hint="eastAsia" w:ascii="微软雅黑" w:eastAsia="微软雅黑"/>
        </w:rPr>
      </w:pPr>
      <w:r>
        <w:rPr>
          <w:rFonts w:hint="eastAsia" w:ascii="微软雅黑" w:eastAsia="微软雅黑"/>
          <w:color w:val="333333"/>
          <w:spacing w:val="-10"/>
        </w:rPr>
        <w:t>说明，并说明这些交易与该重组是否构成分步交易，是否作为一项企业重组业务</w:t>
      </w:r>
      <w:r>
        <w:rPr>
          <w:rFonts w:hint="eastAsia" w:ascii="微软雅黑" w:eastAsia="微软雅黑"/>
          <w:color w:val="333333"/>
        </w:rPr>
        <w:t>进行处理。</w:t>
      </w:r>
    </w:p>
    <w:p>
      <w:pPr>
        <w:pStyle w:val="8"/>
        <w:numPr>
          <w:ilvl w:val="0"/>
          <w:numId w:val="32"/>
        </w:numPr>
        <w:tabs>
          <w:tab w:val="left" w:pos="2901"/>
        </w:tabs>
        <w:spacing w:before="0" w:after="0" w:line="240" w:lineRule="auto"/>
        <w:ind w:left="2900" w:right="0" w:hanging="621"/>
        <w:jc w:val="left"/>
        <w:rPr>
          <w:sz w:val="24"/>
        </w:rPr>
      </w:pPr>
      <w:r>
        <w:rPr>
          <w:color w:val="333333"/>
          <w:sz w:val="24"/>
        </w:rPr>
        <w:t>其他申报资料</w:t>
      </w:r>
    </w:p>
    <w:p>
      <w:pPr>
        <w:pStyle w:val="3"/>
        <w:spacing w:before="182" w:line="338" w:lineRule="auto"/>
        <w:ind w:right="1797" w:firstLine="480"/>
        <w:rPr>
          <w:rFonts w:hint="eastAsia" w:ascii="微软雅黑" w:hAnsi="微软雅黑" w:eastAsia="微软雅黑"/>
        </w:rPr>
      </w:pPr>
      <w:r>
        <w:rPr>
          <w:rFonts w:hint="eastAsia" w:ascii="微软雅黑" w:hAnsi="微软雅黑" w:eastAsia="微软雅黑"/>
          <w:color w:val="333333"/>
          <w:spacing w:val="-8"/>
        </w:rPr>
        <w:t>①资产收购业务总体情况说明，包括资产收购方案、基本情况，并逐条说明</w:t>
      </w:r>
      <w:r>
        <w:rPr>
          <w:rFonts w:hint="eastAsia" w:ascii="微软雅黑" w:hAnsi="微软雅黑" w:eastAsia="微软雅黑"/>
          <w:color w:val="333333"/>
        </w:rPr>
        <w:t>资产收购的商业目的；</w:t>
      </w:r>
    </w:p>
    <w:p>
      <w:pPr>
        <w:pStyle w:val="3"/>
        <w:spacing w:before="0" w:line="338" w:lineRule="auto"/>
        <w:ind w:right="1753" w:firstLine="480"/>
        <w:rPr>
          <w:rFonts w:hint="eastAsia" w:ascii="微软雅黑" w:hAnsi="微软雅黑" w:eastAsia="微软雅黑"/>
        </w:rPr>
      </w:pPr>
      <w:r>
        <w:rPr>
          <w:rFonts w:hint="eastAsia" w:ascii="微软雅黑" w:hAnsi="微软雅黑" w:eastAsia="微软雅黑"/>
          <w:color w:val="333333"/>
        </w:rPr>
        <w:t>②资产收购业务合同(协议)，需有权部门（包括内部和外部）批准的，应提供批准文件；</w:t>
      </w:r>
    </w:p>
    <w:p>
      <w:pPr>
        <w:pStyle w:val="3"/>
        <w:ind w:left="2280"/>
        <w:rPr>
          <w:rFonts w:hint="eastAsia" w:ascii="微软雅黑" w:hAnsi="微软雅黑" w:eastAsia="微软雅黑"/>
        </w:rPr>
      </w:pPr>
      <w:r>
        <w:rPr>
          <w:rFonts w:hint="eastAsia" w:ascii="微软雅黑" w:hAnsi="微软雅黑" w:eastAsia="微软雅黑"/>
          <w:color w:val="333333"/>
        </w:rPr>
        <w:t>③相关资产评估报告或其他公允价值证明；</w:t>
      </w:r>
    </w:p>
    <w:p>
      <w:pPr>
        <w:pStyle w:val="3"/>
        <w:spacing w:before="182"/>
        <w:ind w:left="2280"/>
        <w:rPr>
          <w:rFonts w:hint="eastAsia" w:ascii="微软雅黑" w:hAnsi="微软雅黑" w:eastAsia="微软雅黑"/>
        </w:rPr>
      </w:pPr>
      <w:r>
        <w:pict>
          <v:shape id="_x0000_s1054" o:spid="_x0000_s1054" o:spt="136" type="#_x0000_t136" style="position:absolute;left:0pt;margin-left:41.25pt;margin-top:32.6pt;height:132pt;width:528.05pt;mso-position-horizontal-relative:page;rotation:20643840f;z-index:-251627520;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hAnsi="微软雅黑" w:eastAsia="微软雅黑"/>
          <w:color w:val="333333"/>
        </w:rPr>
        <w:t>④被收购资产原计税基础的证明；</w:t>
      </w:r>
    </w:p>
    <w:p>
      <w:pPr>
        <w:pStyle w:val="3"/>
        <w:spacing w:before="181" w:line="338" w:lineRule="auto"/>
        <w:ind w:right="1797" w:firstLine="480"/>
        <w:rPr>
          <w:rFonts w:hint="eastAsia" w:ascii="微软雅黑" w:hAnsi="微软雅黑" w:eastAsia="微软雅黑"/>
        </w:rPr>
      </w:pPr>
      <w:r>
        <w:rPr>
          <w:rFonts w:hint="eastAsia" w:ascii="微软雅黑" w:hAnsi="微软雅黑" w:eastAsia="微软雅黑"/>
          <w:color w:val="333333"/>
        </w:rPr>
        <w:t>⑤12 个月内不改变资产原来的实质性经营活动、原主要股东不转让所取得股权的承诺书；</w:t>
      </w:r>
    </w:p>
    <w:p>
      <w:pPr>
        <w:pStyle w:val="3"/>
        <w:ind w:left="2280"/>
        <w:rPr>
          <w:rFonts w:hint="eastAsia" w:ascii="微软雅黑" w:hAnsi="微软雅黑" w:eastAsia="微软雅黑"/>
        </w:rPr>
      </w:pPr>
      <w:r>
        <w:rPr>
          <w:rFonts w:hint="eastAsia" w:ascii="微软雅黑" w:hAnsi="微软雅黑" w:eastAsia="微软雅黑"/>
          <w:color w:val="333333"/>
        </w:rPr>
        <w:t>⑥工商管理部门等有权机关登记的相关企业股权变更事项的证明材料；</w:t>
      </w:r>
    </w:p>
    <w:p>
      <w:pPr>
        <w:pStyle w:val="3"/>
        <w:spacing w:before="181"/>
        <w:ind w:left="2280"/>
        <w:rPr>
          <w:rFonts w:hint="eastAsia" w:ascii="微软雅黑" w:hAnsi="微软雅黑" w:eastAsia="微软雅黑"/>
        </w:rPr>
      </w:pPr>
      <w:r>
        <w:rPr>
          <w:rFonts w:hint="eastAsia" w:ascii="微软雅黑" w:hAnsi="微软雅黑" w:eastAsia="微软雅黑"/>
          <w:color w:val="333333"/>
        </w:rPr>
        <w:t>⑦重组当事各方一致选择特殊性税务处理并加盖当事各方公章的证明资料；</w:t>
      </w:r>
    </w:p>
    <w:p>
      <w:pPr>
        <w:pStyle w:val="3"/>
        <w:spacing w:before="182" w:line="338" w:lineRule="auto"/>
        <w:ind w:right="1797" w:firstLine="480"/>
        <w:rPr>
          <w:rFonts w:hint="eastAsia" w:ascii="微软雅黑" w:hAnsi="微软雅黑" w:eastAsia="微软雅黑"/>
        </w:rPr>
      </w:pPr>
      <w:r>
        <w:rPr>
          <w:rFonts w:hint="eastAsia" w:ascii="微软雅黑" w:hAnsi="微软雅黑" w:eastAsia="微软雅黑"/>
          <w:color w:val="333333"/>
          <w:spacing w:val="-9"/>
        </w:rPr>
        <w:t>⑧涉及非货币性资产支付的，应提供非货币性资产评估报告或其他公允价值</w:t>
      </w:r>
      <w:r>
        <w:rPr>
          <w:rFonts w:hint="eastAsia" w:ascii="微软雅黑" w:hAnsi="微软雅黑" w:eastAsia="微软雅黑"/>
          <w:color w:val="333333"/>
        </w:rPr>
        <w:t>证明；</w:t>
      </w:r>
    </w:p>
    <w:p>
      <w:pPr>
        <w:pStyle w:val="3"/>
        <w:spacing w:before="0" w:line="338" w:lineRule="auto"/>
        <w:ind w:right="1795" w:firstLine="480"/>
        <w:rPr>
          <w:rFonts w:hint="eastAsia" w:ascii="微软雅黑" w:hAnsi="微软雅黑" w:eastAsia="微软雅黑"/>
        </w:rPr>
      </w:pPr>
      <w:r>
        <w:rPr>
          <w:rFonts w:hint="eastAsia" w:ascii="微软雅黑" w:hAnsi="微软雅黑" w:eastAsia="微软雅黑"/>
          <w:color w:val="333333"/>
          <w:spacing w:val="-2"/>
        </w:rPr>
        <w:t xml:space="preserve">⑨重组前连续 </w:t>
      </w:r>
      <w:r>
        <w:rPr>
          <w:rFonts w:hint="eastAsia" w:ascii="微软雅黑" w:hAnsi="微软雅黑" w:eastAsia="微软雅黑"/>
          <w:color w:val="333333"/>
        </w:rPr>
        <w:t>12</w:t>
      </w:r>
      <w:r>
        <w:rPr>
          <w:rFonts w:hint="eastAsia" w:ascii="微软雅黑" w:hAnsi="微软雅黑" w:eastAsia="微软雅黑"/>
          <w:color w:val="333333"/>
          <w:spacing w:val="-8"/>
        </w:rPr>
        <w:t xml:space="preserve"> 个月内有无与该重组相关的其他股权、资产交易,与该重组</w:t>
      </w:r>
      <w:r>
        <w:rPr>
          <w:rFonts w:hint="eastAsia" w:ascii="微软雅黑" w:hAnsi="微软雅黑" w:eastAsia="微软雅黑"/>
          <w:color w:val="333333"/>
        </w:rPr>
        <w:t>是否构成分步交易、是否作为一项企业重组业务进行处理情况的说明；</w:t>
      </w:r>
    </w:p>
    <w:p>
      <w:pPr>
        <w:pStyle w:val="3"/>
        <w:spacing w:line="338" w:lineRule="auto"/>
        <w:ind w:right="1797" w:firstLine="480"/>
        <w:jc w:val="both"/>
        <w:rPr>
          <w:rFonts w:hint="eastAsia" w:ascii="微软雅黑" w:hAnsi="微软雅黑" w:eastAsia="微软雅黑"/>
        </w:rPr>
      </w:pPr>
      <w:r>
        <w:rPr>
          <w:rFonts w:hint="eastAsia" w:ascii="微软雅黑" w:hAnsi="微软雅黑" w:eastAsia="微软雅黑"/>
          <w:color w:val="333333"/>
          <w:spacing w:val="-3"/>
        </w:rPr>
        <w:t>⑩按会计准则规定当期应确认资产</w:t>
      </w:r>
      <w:r>
        <w:rPr>
          <w:rFonts w:hint="eastAsia" w:ascii="微软雅黑" w:hAnsi="微软雅黑" w:eastAsia="微软雅黑"/>
          <w:color w:val="333333"/>
        </w:rPr>
        <w:t>（股权</w:t>
      </w:r>
      <w:r>
        <w:rPr>
          <w:rFonts w:hint="eastAsia" w:ascii="微软雅黑" w:hAnsi="微软雅黑" w:eastAsia="微软雅黑"/>
          <w:color w:val="333333"/>
          <w:spacing w:val="-32"/>
        </w:rPr>
        <w:t>）</w:t>
      </w:r>
      <w:r>
        <w:rPr>
          <w:rFonts w:hint="eastAsia" w:ascii="微软雅黑" w:hAnsi="微软雅黑" w:eastAsia="微软雅黑"/>
          <w:color w:val="333333"/>
          <w:spacing w:val="-7"/>
        </w:rPr>
        <w:t>转让损益的，应提供按税法规定</w:t>
      </w:r>
      <w:r>
        <w:rPr>
          <w:rFonts w:hint="eastAsia" w:ascii="微软雅黑" w:hAnsi="微软雅黑" w:eastAsia="微软雅黑"/>
          <w:color w:val="333333"/>
          <w:spacing w:val="-5"/>
        </w:rPr>
        <w:t>核算的资产</w:t>
      </w:r>
      <w:r>
        <w:rPr>
          <w:rFonts w:hint="eastAsia" w:ascii="微软雅黑" w:hAnsi="微软雅黑" w:eastAsia="微软雅黑"/>
          <w:color w:val="333333"/>
        </w:rPr>
        <w:t>（股权</w:t>
      </w:r>
      <w:r>
        <w:rPr>
          <w:rFonts w:hint="eastAsia" w:ascii="微软雅黑" w:hAnsi="微软雅黑" w:eastAsia="微软雅黑"/>
          <w:color w:val="333333"/>
          <w:spacing w:val="-24"/>
        </w:rPr>
        <w:t>）</w:t>
      </w:r>
      <w:r>
        <w:rPr>
          <w:rFonts w:hint="eastAsia" w:ascii="微软雅黑" w:hAnsi="微软雅黑" w:eastAsia="微软雅黑"/>
          <w:color w:val="333333"/>
          <w:spacing w:val="-2"/>
        </w:rPr>
        <w:t>计税基础与按会计准则规定核算的相关资产</w:t>
      </w:r>
      <w:r>
        <w:rPr>
          <w:rFonts w:hint="eastAsia" w:ascii="微软雅黑" w:hAnsi="微软雅黑" w:eastAsia="微软雅黑"/>
          <w:color w:val="333333"/>
        </w:rPr>
        <w:t>（股权</w:t>
      </w:r>
      <w:r>
        <w:rPr>
          <w:rFonts w:hint="eastAsia" w:ascii="微软雅黑" w:hAnsi="微软雅黑" w:eastAsia="微软雅黑"/>
          <w:color w:val="333333"/>
          <w:spacing w:val="-25"/>
        </w:rPr>
        <w:t>）</w:t>
      </w:r>
      <w:r>
        <w:rPr>
          <w:rFonts w:hint="eastAsia" w:ascii="微软雅黑" w:hAnsi="微软雅黑" w:eastAsia="微软雅黑"/>
          <w:color w:val="333333"/>
          <w:spacing w:val="-6"/>
        </w:rPr>
        <w:t>账面价</w:t>
      </w:r>
      <w:r>
        <w:rPr>
          <w:rFonts w:hint="eastAsia" w:ascii="微软雅黑" w:hAnsi="微软雅黑" w:eastAsia="微软雅黑"/>
          <w:color w:val="333333"/>
        </w:rPr>
        <w:t>值的暂时性差异专项说明。</w:t>
      </w:r>
    </w:p>
    <w:p>
      <w:pPr>
        <w:spacing w:before="1"/>
        <w:ind w:left="2280" w:right="0" w:firstLine="0"/>
        <w:jc w:val="left"/>
        <w:rPr>
          <w:rFonts w:hint="eastAsia" w:ascii="微软雅黑" w:eastAsia="微软雅黑"/>
          <w:b/>
          <w:sz w:val="24"/>
        </w:rPr>
      </w:pPr>
      <w:r>
        <w:rPr>
          <w:rFonts w:hint="eastAsia" w:ascii="微软雅黑" w:eastAsia="微软雅黑"/>
          <w:b/>
          <w:color w:val="333333"/>
          <w:sz w:val="24"/>
        </w:rPr>
        <w:t>【政策依据】</w:t>
      </w:r>
    </w:p>
    <w:p>
      <w:pPr>
        <w:pStyle w:val="8"/>
        <w:numPr>
          <w:ilvl w:val="0"/>
          <w:numId w:val="33"/>
        </w:numPr>
        <w:tabs>
          <w:tab w:val="left" w:pos="2481"/>
        </w:tabs>
        <w:spacing w:before="181" w:after="0" w:line="240" w:lineRule="auto"/>
        <w:ind w:left="2480" w:right="0" w:hanging="201"/>
        <w:jc w:val="left"/>
        <w:rPr>
          <w:sz w:val="24"/>
        </w:rPr>
      </w:pPr>
      <w:r>
        <w:fldChar w:fldCharType="begin"/>
      </w:r>
      <w:r>
        <w:instrText xml:space="preserve"> HYPERLINK \l "_bookmark16" </w:instrText>
      </w:r>
      <w:r>
        <w:fldChar w:fldCharType="separate"/>
      </w:r>
      <w:r>
        <w:rPr>
          <w:color w:val="0000FF"/>
          <w:sz w:val="24"/>
          <w:u w:val="single" w:color="0000FF"/>
        </w:rPr>
        <w:t>《中华人民共和国企业所得税法》第二十条</w:t>
      </w:r>
      <w:r>
        <w:rPr>
          <w:color w:val="0000FF"/>
          <w:sz w:val="24"/>
          <w:u w:val="single" w:color="0000FF"/>
        </w:rPr>
        <w:fldChar w:fldCharType="end"/>
      </w:r>
    </w:p>
    <w:p>
      <w:pPr>
        <w:spacing w:after="0" w:line="240" w:lineRule="auto"/>
        <w:jc w:val="left"/>
        <w:rPr>
          <w:sz w:val="24"/>
        </w:rPr>
        <w:sectPr>
          <w:pgSz w:w="11910" w:h="16840"/>
          <w:pgMar w:top="1540" w:right="0" w:bottom="1380" w:left="0" w:header="965" w:footer="1182" w:gutter="0"/>
          <w:cols w:space="720" w:num="1"/>
        </w:sectPr>
      </w:pPr>
    </w:p>
    <w:p>
      <w:pPr>
        <w:pStyle w:val="3"/>
        <w:spacing w:before="11"/>
        <w:ind w:left="0"/>
        <w:rPr>
          <w:rFonts w:ascii="微软雅黑"/>
          <w:sz w:val="10"/>
        </w:rPr>
      </w:pPr>
    </w:p>
    <w:p>
      <w:pPr>
        <w:pStyle w:val="8"/>
        <w:numPr>
          <w:ilvl w:val="0"/>
          <w:numId w:val="33"/>
        </w:numPr>
        <w:tabs>
          <w:tab w:val="left" w:pos="2481"/>
        </w:tabs>
        <w:spacing w:before="37" w:after="0" w:line="240" w:lineRule="auto"/>
        <w:ind w:left="2480" w:right="0" w:hanging="201"/>
        <w:jc w:val="left"/>
        <w:rPr>
          <w:sz w:val="24"/>
        </w:rPr>
      </w:pPr>
      <w:r>
        <w:fldChar w:fldCharType="begin"/>
      </w:r>
      <w:r>
        <w:instrText xml:space="preserve"> HYPERLINK \l "_bookmark17" </w:instrText>
      </w:r>
      <w:r>
        <w:fldChar w:fldCharType="separate"/>
      </w:r>
      <w:r>
        <w:rPr>
          <w:color w:val="0000FF"/>
          <w:sz w:val="24"/>
          <w:u w:val="single" w:color="0000FF"/>
        </w:rPr>
        <w:t>《中华人民共和国企业所得税法实施条例》第七十五条</w:t>
      </w:r>
      <w:r>
        <w:rPr>
          <w:color w:val="0000FF"/>
          <w:sz w:val="24"/>
          <w:u w:val="single" w:color="0000FF"/>
        </w:rPr>
        <w:fldChar w:fldCharType="end"/>
      </w:r>
    </w:p>
    <w:p>
      <w:pPr>
        <w:pStyle w:val="8"/>
        <w:numPr>
          <w:ilvl w:val="0"/>
          <w:numId w:val="33"/>
        </w:numPr>
        <w:tabs>
          <w:tab w:val="left" w:pos="2484"/>
        </w:tabs>
        <w:spacing w:before="182" w:after="0" w:line="338" w:lineRule="auto"/>
        <w:ind w:left="1800" w:right="1797" w:firstLine="480"/>
        <w:jc w:val="left"/>
        <w:rPr>
          <w:sz w:val="24"/>
        </w:rPr>
      </w:pPr>
      <w:r>
        <w:fldChar w:fldCharType="begin"/>
      </w:r>
      <w:r>
        <w:instrText xml:space="preserve"> HYPERLINK \l "_bookmark18" </w:instrText>
      </w:r>
      <w:r>
        <w:fldChar w:fldCharType="separate"/>
      </w:r>
      <w:r>
        <w:rPr>
          <w:color w:val="0000FF"/>
          <w:spacing w:val="7"/>
          <w:sz w:val="24"/>
          <w:u w:val="single" w:color="0000FF"/>
        </w:rPr>
        <w:t>《</w:t>
      </w:r>
      <w:r>
        <w:rPr>
          <w:color w:val="0000FF"/>
          <w:spacing w:val="7"/>
          <w:sz w:val="24"/>
          <w:u w:val="single" w:color="0000FF"/>
        </w:rPr>
        <w:fldChar w:fldCharType="end"/>
      </w:r>
      <w:r>
        <w:fldChar w:fldCharType="begin"/>
      </w:r>
      <w:r>
        <w:instrText xml:space="preserve"> HYPERLINK \l "_bookmark18" </w:instrText>
      </w:r>
      <w:r>
        <w:fldChar w:fldCharType="separate"/>
      </w:r>
      <w:r>
        <w:rPr>
          <w:color w:val="0000FF"/>
          <w:spacing w:val="3"/>
          <w:sz w:val="24"/>
          <w:u w:val="single" w:color="0000FF"/>
        </w:rPr>
        <w:t>财政部国家税务总局关于企业重组业务企业所得税处理若干问题的通</w:t>
      </w:r>
      <w:r>
        <w:rPr>
          <w:color w:val="0000FF"/>
          <w:spacing w:val="3"/>
          <w:sz w:val="24"/>
          <w:u w:val="single" w:color="0000FF"/>
        </w:rPr>
        <w:fldChar w:fldCharType="end"/>
      </w:r>
      <w:r>
        <w:rPr>
          <w:color w:val="0000FF"/>
          <w:spacing w:val="-231"/>
          <w:sz w:val="24"/>
          <w:u w:val="single" w:color="0000FF"/>
        </w:rPr>
        <w:t>知》</w:t>
      </w:r>
      <w:r>
        <w:rPr>
          <w:color w:val="0000FF"/>
          <w:sz w:val="24"/>
          <w:u w:val="single" w:color="0000FF"/>
        </w:rPr>
        <w:t>（财税〔2009〕59</w:t>
      </w:r>
      <w:r>
        <w:rPr>
          <w:color w:val="0000FF"/>
          <w:spacing w:val="-6"/>
          <w:sz w:val="24"/>
          <w:u w:val="single" w:color="0000FF"/>
        </w:rPr>
        <w:t xml:space="preserve"> 号</w:t>
      </w:r>
      <w:r>
        <w:rPr>
          <w:color w:val="0000FF"/>
          <w:sz w:val="24"/>
          <w:u w:val="single" w:color="0000FF"/>
        </w:rPr>
        <w:t>）</w:t>
      </w:r>
    </w:p>
    <w:p>
      <w:pPr>
        <w:pStyle w:val="8"/>
        <w:numPr>
          <w:ilvl w:val="0"/>
          <w:numId w:val="33"/>
        </w:numPr>
        <w:tabs>
          <w:tab w:val="left" w:pos="2481"/>
        </w:tabs>
        <w:spacing w:before="0" w:after="0" w:line="240" w:lineRule="auto"/>
        <w:ind w:left="2480" w:right="0" w:hanging="201"/>
        <w:jc w:val="left"/>
        <w:rPr>
          <w:sz w:val="24"/>
        </w:rPr>
      </w:pPr>
      <w:r>
        <w:fldChar w:fldCharType="begin"/>
      </w:r>
      <w:r>
        <w:instrText xml:space="preserve"> HYPERLINK \l "_bookmark19" </w:instrText>
      </w:r>
      <w:r>
        <w:fldChar w:fldCharType="separate"/>
      </w:r>
      <w:r>
        <w:rPr>
          <w:color w:val="0000FF"/>
          <w:sz w:val="24"/>
          <w:u w:val="single" w:color="0000FF"/>
        </w:rPr>
        <w:t>《</w:t>
      </w:r>
      <w:r>
        <w:rPr>
          <w:color w:val="0000FF"/>
          <w:sz w:val="24"/>
          <w:u w:val="single" w:color="0000FF"/>
        </w:rPr>
        <w:fldChar w:fldCharType="end"/>
      </w:r>
      <w:r>
        <w:fldChar w:fldCharType="begin"/>
      </w:r>
      <w:r>
        <w:instrText xml:space="preserve"> HYPERLINK \l "_bookmark19" </w:instrText>
      </w:r>
      <w:r>
        <w:fldChar w:fldCharType="separate"/>
      </w:r>
      <w:r>
        <w:rPr>
          <w:color w:val="0000FF"/>
          <w:sz w:val="24"/>
          <w:u w:val="single" w:color="0000FF"/>
        </w:rPr>
        <w:t>国家税务总局关于发布&lt;企业重组业务企业所得税管理办法&gt;的公告》</w:t>
      </w:r>
      <w:r>
        <w:rPr>
          <w:color w:val="0000FF"/>
          <w:sz w:val="24"/>
          <w:u w:val="single" w:color="0000FF"/>
        </w:rPr>
        <w:fldChar w:fldCharType="end"/>
      </w:r>
    </w:p>
    <w:p>
      <w:pPr>
        <w:pStyle w:val="3"/>
        <w:spacing w:before="182"/>
        <w:rPr>
          <w:rFonts w:hint="eastAsia" w:ascii="微软雅黑" w:eastAsia="微软雅黑"/>
        </w:rPr>
      </w:pPr>
      <w:r>
        <w:rPr>
          <w:rFonts w:hint="eastAsia" w:ascii="微软雅黑" w:eastAsia="微软雅黑"/>
          <w:color w:val="0000FF"/>
          <w:u w:val="single" w:color="0000FF"/>
        </w:rPr>
        <w:t>（国家税务总局公告 2010 年第 4 号）</w:t>
      </w:r>
    </w:p>
    <w:p>
      <w:pPr>
        <w:pStyle w:val="8"/>
        <w:numPr>
          <w:ilvl w:val="0"/>
          <w:numId w:val="33"/>
        </w:numPr>
        <w:tabs>
          <w:tab w:val="left" w:pos="2484"/>
        </w:tabs>
        <w:spacing w:before="181" w:after="0" w:line="338" w:lineRule="auto"/>
        <w:ind w:left="1800" w:right="1797" w:firstLine="480"/>
        <w:jc w:val="left"/>
        <w:rPr>
          <w:sz w:val="24"/>
        </w:rPr>
      </w:pPr>
      <w:r>
        <w:fldChar w:fldCharType="begin"/>
      </w:r>
      <w:r>
        <w:instrText xml:space="preserve"> HYPERLINK \l "_bookmark20" </w:instrText>
      </w:r>
      <w:r>
        <w:fldChar w:fldCharType="separate"/>
      </w:r>
      <w:r>
        <w:rPr>
          <w:color w:val="0000FF"/>
          <w:spacing w:val="7"/>
          <w:sz w:val="24"/>
          <w:u w:val="single" w:color="0000FF"/>
        </w:rPr>
        <w:t>《</w:t>
      </w:r>
      <w:r>
        <w:rPr>
          <w:color w:val="0000FF"/>
          <w:spacing w:val="7"/>
          <w:sz w:val="24"/>
          <w:u w:val="single" w:color="0000FF"/>
        </w:rPr>
        <w:fldChar w:fldCharType="end"/>
      </w:r>
      <w:r>
        <w:fldChar w:fldCharType="begin"/>
      </w:r>
      <w:r>
        <w:instrText xml:space="preserve"> HYPERLINK \l "_bookmark20" </w:instrText>
      </w:r>
      <w:r>
        <w:fldChar w:fldCharType="separate"/>
      </w:r>
      <w:r>
        <w:rPr>
          <w:color w:val="0000FF"/>
          <w:spacing w:val="3"/>
          <w:sz w:val="24"/>
          <w:u w:val="single" w:color="0000FF"/>
        </w:rPr>
        <w:t>财政部国家税务总局关于促进企业重组有关企业所得税处理问题的通</w:t>
      </w:r>
      <w:r>
        <w:rPr>
          <w:color w:val="0000FF"/>
          <w:spacing w:val="3"/>
          <w:sz w:val="24"/>
          <w:u w:val="single" w:color="0000FF"/>
        </w:rPr>
        <w:fldChar w:fldCharType="end"/>
      </w:r>
      <w:r>
        <w:rPr>
          <w:color w:val="0000FF"/>
          <w:spacing w:val="3"/>
          <w:sz w:val="24"/>
          <w:u w:val="single" w:color="0000FF"/>
        </w:rPr>
        <w:t>知》（财税〔2014〕109</w:t>
      </w:r>
      <w:r>
        <w:rPr>
          <w:color w:val="0000FF"/>
          <w:spacing w:val="-7"/>
          <w:sz w:val="24"/>
          <w:u w:val="single" w:color="0000FF"/>
        </w:rPr>
        <w:t xml:space="preserve"> 号</w:t>
      </w:r>
      <w:r>
        <w:rPr>
          <w:color w:val="0000FF"/>
          <w:sz w:val="24"/>
          <w:u w:val="single" w:color="0000FF"/>
        </w:rPr>
        <w:t>）</w:t>
      </w:r>
    </w:p>
    <w:p>
      <w:pPr>
        <w:pStyle w:val="8"/>
        <w:numPr>
          <w:ilvl w:val="0"/>
          <w:numId w:val="33"/>
        </w:numPr>
        <w:tabs>
          <w:tab w:val="left" w:pos="2481"/>
        </w:tabs>
        <w:spacing w:before="1" w:after="0" w:line="240" w:lineRule="auto"/>
        <w:ind w:left="2480" w:right="0" w:hanging="201"/>
        <w:jc w:val="left"/>
        <w:rPr>
          <w:sz w:val="24"/>
        </w:rPr>
      </w:pPr>
      <w:r>
        <w:fldChar w:fldCharType="begin"/>
      </w:r>
      <w:r>
        <w:instrText xml:space="preserve"> HYPERLINK \l "_bookmark21" </w:instrText>
      </w:r>
      <w:r>
        <w:fldChar w:fldCharType="separate"/>
      </w:r>
      <w:r>
        <w:rPr>
          <w:color w:val="0000FF"/>
          <w:sz w:val="24"/>
          <w:u w:val="single" w:color="0000FF"/>
        </w:rPr>
        <w:t>《国家税务总局关于企业重组业务企业所得税</w:t>
      </w:r>
      <w:r>
        <w:rPr>
          <w:color w:val="0000FF"/>
          <w:sz w:val="24"/>
          <w:u w:val="single" w:color="0000FF"/>
        </w:rPr>
        <w:fldChar w:fldCharType="end"/>
      </w:r>
      <w:r>
        <w:fldChar w:fldCharType="begin"/>
      </w:r>
      <w:r>
        <w:instrText xml:space="preserve"> HYPERLINK \l "_bookmark21" </w:instrText>
      </w:r>
      <w:r>
        <w:fldChar w:fldCharType="separate"/>
      </w:r>
      <w:r>
        <w:rPr>
          <w:color w:val="0000FF"/>
          <w:sz w:val="24"/>
          <w:u w:val="single" w:color="0000FF"/>
        </w:rPr>
        <w:t>征收管理若干问题的公告》</w:t>
      </w:r>
      <w:r>
        <w:rPr>
          <w:color w:val="0000FF"/>
          <w:sz w:val="24"/>
          <w:u w:val="single" w:color="0000FF"/>
        </w:rPr>
        <w:fldChar w:fldCharType="end"/>
      </w:r>
    </w:p>
    <w:p>
      <w:pPr>
        <w:pStyle w:val="3"/>
        <w:spacing w:before="181"/>
        <w:rPr>
          <w:rFonts w:hint="eastAsia" w:ascii="微软雅黑" w:eastAsia="微软雅黑"/>
        </w:rPr>
      </w:pPr>
      <w:r>
        <w:rPr>
          <w:rFonts w:hint="eastAsia" w:ascii="微软雅黑" w:eastAsia="微软雅黑"/>
          <w:color w:val="0000FF"/>
          <w:u w:val="single" w:color="0000FF"/>
        </w:rPr>
        <w:t>（国家税务总局公告 2015 年第 48 号）</w:t>
      </w:r>
    </w:p>
    <w:p>
      <w:pPr>
        <w:pStyle w:val="3"/>
        <w:spacing w:before="0"/>
        <w:ind w:left="0"/>
        <w:rPr>
          <w:rFonts w:ascii="微软雅黑"/>
          <w:sz w:val="20"/>
        </w:rPr>
      </w:pPr>
    </w:p>
    <w:p>
      <w:pPr>
        <w:pStyle w:val="3"/>
        <w:spacing w:before="13"/>
        <w:ind w:left="0"/>
        <w:rPr>
          <w:rFonts w:ascii="微软雅黑"/>
          <w:sz w:val="21"/>
        </w:rPr>
      </w:pPr>
    </w:p>
    <w:p>
      <w:pPr>
        <w:spacing w:before="37"/>
        <w:ind w:left="2280" w:right="0" w:firstLine="0"/>
        <w:jc w:val="left"/>
        <w:outlineLvl w:val="1"/>
        <w:rPr>
          <w:rFonts w:hint="eastAsia" w:ascii="微软雅黑" w:eastAsia="微软雅黑"/>
          <w:b/>
          <w:sz w:val="24"/>
        </w:rPr>
      </w:pPr>
      <w:r>
        <w:pict>
          <v:shape id="_x0000_s1055" o:spid="_x0000_s1055" o:spt="136" type="#_x0000_t136" style="position:absolute;left:0pt;margin-left:41.25pt;margin-top:-37pt;height:132pt;width:528.05pt;mso-position-horizontal-relative:page;rotation:20643840f;z-index:-251626496;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eastAsia="微软雅黑"/>
          <w:b/>
          <w:color w:val="333333"/>
          <w:sz w:val="24"/>
        </w:rPr>
        <w:t>（五）企业合并</w:t>
      </w:r>
    </w:p>
    <w:p>
      <w:pPr>
        <w:spacing w:before="182"/>
        <w:ind w:left="2280" w:right="0" w:firstLine="0"/>
        <w:jc w:val="left"/>
        <w:rPr>
          <w:rFonts w:hint="eastAsia" w:ascii="微软雅黑" w:eastAsia="微软雅黑"/>
          <w:b/>
          <w:sz w:val="24"/>
        </w:rPr>
      </w:pPr>
      <w:r>
        <w:rPr>
          <w:rFonts w:hint="eastAsia" w:ascii="微软雅黑" w:eastAsia="微软雅黑"/>
          <w:b/>
          <w:color w:val="333333"/>
          <w:sz w:val="24"/>
        </w:rPr>
        <w:t>【适用主体】</w:t>
      </w:r>
    </w:p>
    <w:p>
      <w:pPr>
        <w:pStyle w:val="3"/>
        <w:spacing w:before="181"/>
        <w:ind w:left="2280"/>
        <w:rPr>
          <w:rFonts w:hint="eastAsia" w:ascii="微软雅黑" w:eastAsia="微软雅黑"/>
        </w:rPr>
      </w:pPr>
      <w:r>
        <w:rPr>
          <w:rFonts w:hint="eastAsia" w:ascii="微软雅黑" w:eastAsia="微软雅黑"/>
          <w:color w:val="333333"/>
        </w:rPr>
        <w:t>所有企业</w:t>
      </w:r>
    </w:p>
    <w:p>
      <w:pPr>
        <w:spacing w:before="182"/>
        <w:ind w:left="2280" w:right="0" w:firstLine="0"/>
        <w:jc w:val="left"/>
        <w:rPr>
          <w:rFonts w:hint="eastAsia" w:ascii="微软雅黑" w:eastAsia="微软雅黑"/>
          <w:b/>
          <w:sz w:val="24"/>
        </w:rPr>
      </w:pPr>
      <w:r>
        <w:rPr>
          <w:rFonts w:hint="eastAsia" w:ascii="微软雅黑" w:eastAsia="微软雅黑"/>
          <w:b/>
          <w:color w:val="333333"/>
          <w:sz w:val="24"/>
        </w:rPr>
        <w:t>【政策内容】</w:t>
      </w:r>
    </w:p>
    <w:p>
      <w:pPr>
        <w:pStyle w:val="8"/>
        <w:numPr>
          <w:ilvl w:val="0"/>
          <w:numId w:val="34"/>
        </w:numPr>
        <w:tabs>
          <w:tab w:val="left" w:pos="2481"/>
        </w:tabs>
        <w:spacing w:before="182" w:after="0" w:line="240" w:lineRule="auto"/>
        <w:ind w:left="2480" w:right="0" w:hanging="201"/>
        <w:jc w:val="left"/>
        <w:rPr>
          <w:sz w:val="24"/>
        </w:rPr>
      </w:pPr>
      <w:r>
        <w:rPr>
          <w:color w:val="333333"/>
          <w:sz w:val="24"/>
        </w:rPr>
        <w:t>企业合并的当事各方：合并企业、被合并企业、被合并企业股东。</w:t>
      </w:r>
    </w:p>
    <w:p>
      <w:pPr>
        <w:pStyle w:val="8"/>
        <w:numPr>
          <w:ilvl w:val="0"/>
          <w:numId w:val="34"/>
        </w:numPr>
        <w:tabs>
          <w:tab w:val="left" w:pos="2481"/>
        </w:tabs>
        <w:spacing w:before="181" w:after="0" w:line="338" w:lineRule="auto"/>
        <w:ind w:left="1800" w:right="1795" w:firstLine="480"/>
        <w:jc w:val="left"/>
        <w:rPr>
          <w:sz w:val="24"/>
        </w:rPr>
      </w:pPr>
      <w:r>
        <w:rPr>
          <w:color w:val="333333"/>
          <w:spacing w:val="-6"/>
          <w:sz w:val="24"/>
        </w:rPr>
        <w:t>企业合并的主导方：被合并企业，涉及同一控制下多家被合并企业的，以</w:t>
      </w:r>
      <w:r>
        <w:rPr>
          <w:color w:val="333333"/>
          <w:sz w:val="24"/>
        </w:rPr>
        <w:t>净资产最大的一方为主导方。</w:t>
      </w:r>
    </w:p>
    <w:p>
      <w:pPr>
        <w:pStyle w:val="8"/>
        <w:numPr>
          <w:ilvl w:val="0"/>
          <w:numId w:val="34"/>
        </w:numPr>
        <w:tabs>
          <w:tab w:val="left" w:pos="2481"/>
        </w:tabs>
        <w:spacing w:before="1" w:after="0" w:line="240" w:lineRule="auto"/>
        <w:ind w:left="2480" w:right="0" w:hanging="201"/>
        <w:jc w:val="left"/>
        <w:rPr>
          <w:sz w:val="24"/>
        </w:rPr>
      </w:pPr>
      <w:r>
        <w:rPr>
          <w:color w:val="333333"/>
          <w:sz w:val="24"/>
        </w:rPr>
        <w:t>处理规定</w:t>
      </w:r>
    </w:p>
    <w:p>
      <w:pPr>
        <w:pStyle w:val="3"/>
        <w:spacing w:before="181"/>
        <w:ind w:left="2280"/>
        <w:rPr>
          <w:rFonts w:hint="eastAsia" w:ascii="微软雅黑" w:eastAsia="微软雅黑"/>
        </w:rPr>
      </w:pPr>
      <w:r>
        <w:rPr>
          <w:rFonts w:hint="eastAsia" w:ascii="微软雅黑" w:eastAsia="微软雅黑"/>
          <w:color w:val="333333"/>
        </w:rPr>
        <w:t>企业合并分为一般性税务处理与特殊性税务处理规定。</w:t>
      </w:r>
    </w:p>
    <w:p>
      <w:pPr>
        <w:pStyle w:val="8"/>
        <w:numPr>
          <w:ilvl w:val="0"/>
          <w:numId w:val="35"/>
        </w:numPr>
        <w:tabs>
          <w:tab w:val="left" w:pos="2901"/>
        </w:tabs>
        <w:spacing w:before="182" w:after="0" w:line="240" w:lineRule="auto"/>
        <w:ind w:left="2900" w:right="0" w:hanging="621"/>
        <w:jc w:val="left"/>
        <w:rPr>
          <w:sz w:val="24"/>
        </w:rPr>
      </w:pPr>
      <w:r>
        <w:rPr>
          <w:color w:val="333333"/>
          <w:sz w:val="24"/>
        </w:rPr>
        <w:t>一般性税务处理规定</w:t>
      </w:r>
    </w:p>
    <w:p>
      <w:pPr>
        <w:spacing w:after="0" w:line="240" w:lineRule="auto"/>
        <w:jc w:val="left"/>
        <w:rPr>
          <w:sz w:val="24"/>
        </w:rPr>
        <w:sectPr>
          <w:pgSz w:w="11910" w:h="16840"/>
          <w:pgMar w:top="1540" w:right="0" w:bottom="1380" w:left="0" w:header="965" w:footer="1182" w:gutter="0"/>
          <w:cols w:space="720" w:num="1"/>
        </w:sectPr>
      </w:pPr>
    </w:p>
    <w:p>
      <w:pPr>
        <w:pStyle w:val="3"/>
        <w:spacing w:before="11"/>
        <w:ind w:left="0"/>
        <w:rPr>
          <w:rFonts w:ascii="微软雅黑"/>
          <w:sz w:val="10"/>
        </w:rPr>
      </w:pPr>
    </w:p>
    <w:p>
      <w:pPr>
        <w:pStyle w:val="3"/>
        <w:spacing w:before="37" w:line="338" w:lineRule="auto"/>
        <w:ind w:right="1797" w:firstLine="480"/>
        <w:jc w:val="both"/>
        <w:rPr>
          <w:rFonts w:hint="eastAsia" w:ascii="微软雅黑" w:eastAsia="微软雅黑"/>
        </w:rPr>
      </w:pPr>
      <w:r>
        <w:rPr>
          <w:rFonts w:hint="eastAsia" w:ascii="微软雅黑" w:eastAsia="微软雅黑"/>
          <w:color w:val="333333"/>
          <w:spacing w:val="-5"/>
        </w:rPr>
        <w:t>合并企业按公允价值确定接受被合并企业各项资产和负债的计税基础。被合</w:t>
      </w:r>
      <w:r>
        <w:rPr>
          <w:rFonts w:hint="eastAsia" w:ascii="微软雅黑" w:eastAsia="微软雅黑"/>
          <w:color w:val="333333"/>
          <w:spacing w:val="-6"/>
        </w:rPr>
        <w:t>并企业按清算进行企业所得税处理。其亏损不得在合并方结转弥补。被合并企业</w:t>
      </w:r>
      <w:r>
        <w:rPr>
          <w:rFonts w:hint="eastAsia" w:ascii="微软雅黑" w:eastAsia="微软雅黑"/>
          <w:color w:val="333333"/>
        </w:rPr>
        <w:t>股东按清算进行企业所得税处理。</w:t>
      </w:r>
    </w:p>
    <w:p>
      <w:pPr>
        <w:pStyle w:val="8"/>
        <w:numPr>
          <w:ilvl w:val="0"/>
          <w:numId w:val="35"/>
        </w:numPr>
        <w:tabs>
          <w:tab w:val="left" w:pos="2901"/>
        </w:tabs>
        <w:spacing w:before="1" w:after="0" w:line="240" w:lineRule="auto"/>
        <w:ind w:left="2900" w:right="0" w:hanging="621"/>
        <w:jc w:val="left"/>
        <w:rPr>
          <w:sz w:val="24"/>
        </w:rPr>
      </w:pPr>
      <w:r>
        <w:rPr>
          <w:color w:val="333333"/>
          <w:sz w:val="24"/>
        </w:rPr>
        <w:t>特殊性税务处理规定</w:t>
      </w:r>
    </w:p>
    <w:p>
      <w:pPr>
        <w:pStyle w:val="3"/>
        <w:spacing w:before="181" w:line="338" w:lineRule="auto"/>
        <w:ind w:right="1797" w:firstLine="480"/>
        <w:rPr>
          <w:rFonts w:hint="eastAsia" w:ascii="微软雅黑" w:hAnsi="微软雅黑" w:eastAsia="微软雅黑"/>
        </w:rPr>
      </w:pPr>
      <w:r>
        <w:rPr>
          <w:rFonts w:hint="eastAsia" w:ascii="微软雅黑" w:hAnsi="微软雅黑" w:eastAsia="微软雅黑"/>
          <w:color w:val="333333"/>
          <w:spacing w:val="-6"/>
        </w:rPr>
        <w:t>①合并企业接受被合并企业资产和负债的计税基础，以被合并企业的原有计</w:t>
      </w:r>
      <w:r>
        <w:rPr>
          <w:rFonts w:hint="eastAsia" w:ascii="微软雅黑" w:hAnsi="微软雅黑" w:eastAsia="微软雅黑"/>
          <w:color w:val="333333"/>
        </w:rPr>
        <w:t>税基础确定。</w:t>
      </w:r>
    </w:p>
    <w:p>
      <w:pPr>
        <w:pStyle w:val="3"/>
        <w:ind w:left="2280"/>
        <w:rPr>
          <w:rFonts w:hint="eastAsia" w:ascii="微软雅黑" w:hAnsi="微软雅黑" w:eastAsia="微软雅黑"/>
        </w:rPr>
      </w:pPr>
      <w:r>
        <w:rPr>
          <w:rFonts w:hint="eastAsia" w:ascii="微软雅黑" w:hAnsi="微软雅黑" w:eastAsia="微软雅黑"/>
          <w:color w:val="333333"/>
        </w:rPr>
        <w:t>②被合并企业合并前的相关所得税事项由合并企业承继。</w:t>
      </w:r>
    </w:p>
    <w:p>
      <w:pPr>
        <w:pStyle w:val="3"/>
        <w:spacing w:before="181" w:line="338" w:lineRule="auto"/>
        <w:ind w:right="1797" w:firstLine="480"/>
        <w:jc w:val="both"/>
        <w:rPr>
          <w:rFonts w:hint="eastAsia" w:ascii="微软雅黑" w:hAnsi="微软雅黑" w:eastAsia="微软雅黑"/>
        </w:rPr>
      </w:pPr>
      <w:r>
        <w:pict>
          <v:shape id="_x0000_s1056" o:spid="_x0000_s1056" o:spt="136" type="#_x0000_t136" style="position:absolute;left:0pt;margin-left:41.25pt;margin-top:63.75pt;height:132pt;width:528.05pt;mso-position-horizontal-relative:page;rotation:20643840f;z-index:-251625472;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hAnsi="微软雅黑" w:eastAsia="微软雅黑"/>
          <w:color w:val="333333"/>
          <w:spacing w:val="3"/>
        </w:rPr>
        <w:t>③可由合并企业弥补的被合并企业亏损的限额</w:t>
      </w:r>
      <w:r>
        <w:rPr>
          <w:rFonts w:hint="eastAsia" w:ascii="微软雅黑" w:hAnsi="微软雅黑" w:eastAsia="微软雅黑"/>
          <w:color w:val="333333"/>
          <w:spacing w:val="4"/>
        </w:rPr>
        <w:t>（</w:t>
      </w:r>
      <w:r>
        <w:rPr>
          <w:rFonts w:hint="eastAsia" w:ascii="微软雅黑" w:hAnsi="微软雅黑" w:eastAsia="微软雅黑"/>
          <w:color w:val="333333"/>
          <w:spacing w:val="3"/>
        </w:rPr>
        <w:t>按税法规定剩余结转年限</w:t>
      </w:r>
      <w:r>
        <w:rPr>
          <w:rFonts w:hint="eastAsia" w:ascii="微软雅黑" w:hAnsi="微软雅黑" w:eastAsia="微软雅黑"/>
          <w:color w:val="333333"/>
          <w:spacing w:val="-4"/>
        </w:rPr>
        <w:t>内，每年可由合并企业弥补的被合并企业亏损的限额</w:t>
      </w:r>
      <w:r>
        <w:rPr>
          <w:rFonts w:hint="eastAsia" w:ascii="微软雅黑" w:hAnsi="微软雅黑" w:eastAsia="微软雅黑"/>
          <w:color w:val="333333"/>
          <w:spacing w:val="-9"/>
        </w:rPr>
        <w:t>）</w:t>
      </w:r>
      <w:r>
        <w:rPr>
          <w:rFonts w:hint="eastAsia" w:ascii="微软雅黑" w:hAnsi="微软雅黑" w:eastAsia="微软雅黑"/>
          <w:color w:val="333333"/>
          <w:spacing w:val="-5"/>
        </w:rPr>
        <w:t>=被合并企业净资产公允</w:t>
      </w:r>
      <w:r>
        <w:rPr>
          <w:rFonts w:hint="eastAsia" w:ascii="微软雅黑" w:hAnsi="微软雅黑" w:eastAsia="微软雅黑"/>
          <w:color w:val="333333"/>
        </w:rPr>
        <w:t>价值×截至合并业务发生当年年末国家发行的最长期限的国债利率。</w:t>
      </w:r>
    </w:p>
    <w:p>
      <w:pPr>
        <w:pStyle w:val="3"/>
        <w:spacing w:line="338" w:lineRule="auto"/>
        <w:ind w:right="1797" w:firstLine="480"/>
        <w:rPr>
          <w:rFonts w:hint="eastAsia" w:ascii="微软雅黑" w:hAnsi="微软雅黑" w:eastAsia="微软雅黑"/>
        </w:rPr>
      </w:pPr>
      <w:r>
        <w:rPr>
          <w:rFonts w:hint="eastAsia" w:ascii="微软雅黑" w:hAnsi="微软雅黑" w:eastAsia="微软雅黑"/>
          <w:color w:val="333333"/>
          <w:spacing w:val="-6"/>
        </w:rPr>
        <w:t>④被合并企业股东取得合并企业股权的计税基础，以其原持有的被合并企业</w:t>
      </w:r>
      <w:r>
        <w:rPr>
          <w:rFonts w:hint="eastAsia" w:ascii="微软雅黑" w:hAnsi="微软雅黑" w:eastAsia="微软雅黑"/>
          <w:color w:val="333333"/>
        </w:rPr>
        <w:t>股权的计税基础确定。</w:t>
      </w:r>
    </w:p>
    <w:p>
      <w:pPr>
        <w:pStyle w:val="3"/>
        <w:ind w:left="2280"/>
        <w:rPr>
          <w:rFonts w:hint="eastAsia" w:ascii="微软雅黑" w:hAnsi="微软雅黑" w:eastAsia="微软雅黑"/>
        </w:rPr>
      </w:pPr>
      <w:r>
        <w:rPr>
          <w:rFonts w:hint="eastAsia" w:ascii="微软雅黑" w:hAnsi="微软雅黑" w:eastAsia="微软雅黑"/>
          <w:color w:val="333333"/>
        </w:rPr>
        <w:t>⑤股权支付部分暂不确认有关资产的交易所得或损失。</w:t>
      </w:r>
    </w:p>
    <w:p>
      <w:pPr>
        <w:pStyle w:val="3"/>
        <w:spacing w:before="181" w:line="338" w:lineRule="auto"/>
        <w:ind w:right="1797" w:firstLine="480"/>
        <w:rPr>
          <w:rFonts w:hint="eastAsia" w:ascii="微软雅黑" w:hAnsi="微软雅黑" w:eastAsia="微软雅黑"/>
        </w:rPr>
      </w:pPr>
      <w:r>
        <w:rPr>
          <w:rFonts w:hint="eastAsia" w:ascii="微软雅黑" w:hAnsi="微软雅黑" w:eastAsia="微软雅黑"/>
          <w:color w:val="333333"/>
          <w:spacing w:val="-5"/>
        </w:rPr>
        <w:t>⑥非股权支付部分仍应在交易当期确认相应的资产转让所得或损失，并调整</w:t>
      </w:r>
      <w:r>
        <w:rPr>
          <w:rFonts w:hint="eastAsia" w:ascii="微软雅黑" w:hAnsi="微软雅黑" w:eastAsia="微软雅黑"/>
          <w:color w:val="333333"/>
        </w:rPr>
        <w:t>相应资产的计税基础。</w:t>
      </w:r>
    </w:p>
    <w:p>
      <w:pPr>
        <w:spacing w:before="1"/>
        <w:ind w:left="2280" w:right="0" w:firstLine="0"/>
        <w:jc w:val="left"/>
        <w:rPr>
          <w:rFonts w:hint="eastAsia" w:ascii="微软雅黑" w:eastAsia="微软雅黑"/>
          <w:b/>
          <w:sz w:val="24"/>
        </w:rPr>
      </w:pPr>
      <w:r>
        <w:rPr>
          <w:rFonts w:hint="eastAsia" w:ascii="微软雅黑" w:eastAsia="微软雅黑"/>
          <w:b/>
          <w:color w:val="333333"/>
          <w:sz w:val="24"/>
        </w:rPr>
        <w:t>【适用条件】</w:t>
      </w:r>
    </w:p>
    <w:p>
      <w:pPr>
        <w:pStyle w:val="3"/>
        <w:spacing w:before="181"/>
        <w:ind w:left="2280"/>
        <w:rPr>
          <w:rFonts w:hint="eastAsia" w:ascii="微软雅黑" w:eastAsia="微软雅黑"/>
        </w:rPr>
      </w:pPr>
      <w:r>
        <w:rPr>
          <w:rFonts w:hint="eastAsia" w:ascii="微软雅黑" w:eastAsia="微软雅黑"/>
          <w:color w:val="333333"/>
        </w:rPr>
        <w:t>企业合并适用特殊性处税务处理的条件包括：</w:t>
      </w:r>
    </w:p>
    <w:p>
      <w:pPr>
        <w:pStyle w:val="8"/>
        <w:numPr>
          <w:ilvl w:val="0"/>
          <w:numId w:val="36"/>
        </w:numPr>
        <w:tabs>
          <w:tab w:val="left" w:pos="2481"/>
        </w:tabs>
        <w:spacing w:before="182" w:after="0" w:line="240" w:lineRule="auto"/>
        <w:ind w:left="2480" w:right="0" w:hanging="201"/>
        <w:jc w:val="left"/>
        <w:rPr>
          <w:sz w:val="24"/>
        </w:rPr>
      </w:pPr>
      <w:r>
        <w:rPr>
          <w:color w:val="333333"/>
          <w:sz w:val="24"/>
        </w:rPr>
        <w:t>具有合理的商业目的，且不以减少、免除或者推迟缴纳税款为主要目的。</w:t>
      </w:r>
    </w:p>
    <w:p>
      <w:pPr>
        <w:pStyle w:val="8"/>
        <w:numPr>
          <w:ilvl w:val="0"/>
          <w:numId w:val="36"/>
        </w:numPr>
        <w:tabs>
          <w:tab w:val="left" w:pos="2481"/>
        </w:tabs>
        <w:spacing w:before="182" w:after="0" w:line="240" w:lineRule="auto"/>
        <w:ind w:left="2480" w:right="0" w:hanging="201"/>
        <w:jc w:val="left"/>
        <w:rPr>
          <w:sz w:val="24"/>
        </w:rPr>
      </w:pPr>
      <w:r>
        <w:rPr>
          <w:color w:val="333333"/>
          <w:spacing w:val="-2"/>
          <w:sz w:val="24"/>
        </w:rPr>
        <w:t xml:space="preserve">企业重组后的连续 </w:t>
      </w:r>
      <w:r>
        <w:rPr>
          <w:color w:val="333333"/>
          <w:sz w:val="24"/>
        </w:rPr>
        <w:t>12</w:t>
      </w:r>
      <w:r>
        <w:rPr>
          <w:color w:val="333333"/>
          <w:spacing w:val="-3"/>
          <w:sz w:val="24"/>
        </w:rPr>
        <w:t xml:space="preserve"> 个月内不改变重组资产原来的实质性经营活动。</w:t>
      </w:r>
    </w:p>
    <w:p>
      <w:pPr>
        <w:pStyle w:val="8"/>
        <w:numPr>
          <w:ilvl w:val="0"/>
          <w:numId w:val="36"/>
        </w:numPr>
        <w:tabs>
          <w:tab w:val="left" w:pos="2484"/>
        </w:tabs>
        <w:spacing w:before="181" w:after="0" w:line="338" w:lineRule="auto"/>
        <w:ind w:left="1800" w:right="1797" w:firstLine="480"/>
        <w:jc w:val="left"/>
        <w:rPr>
          <w:sz w:val="24"/>
        </w:rPr>
      </w:pPr>
      <w:r>
        <w:rPr>
          <w:color w:val="333333"/>
          <w:spacing w:val="3"/>
          <w:sz w:val="24"/>
        </w:rPr>
        <w:t>企业股东在该企业合并发生时取得的股权支付金额不低于其交易支付总</w:t>
      </w:r>
      <w:r>
        <w:rPr>
          <w:color w:val="333333"/>
          <w:spacing w:val="-3"/>
          <w:sz w:val="24"/>
        </w:rPr>
        <w:t xml:space="preserve">额的 </w:t>
      </w:r>
      <w:r>
        <w:rPr>
          <w:color w:val="333333"/>
          <w:sz w:val="24"/>
        </w:rPr>
        <w:t>85%。</w:t>
      </w:r>
    </w:p>
    <w:p>
      <w:pPr>
        <w:spacing w:after="0" w:line="338" w:lineRule="auto"/>
        <w:jc w:val="left"/>
        <w:rPr>
          <w:sz w:val="24"/>
        </w:rPr>
        <w:sectPr>
          <w:pgSz w:w="11910" w:h="16840"/>
          <w:pgMar w:top="1540" w:right="0" w:bottom="1380" w:left="0" w:header="965" w:footer="1182" w:gutter="0"/>
          <w:cols w:space="720" w:num="1"/>
        </w:sectPr>
      </w:pPr>
    </w:p>
    <w:p>
      <w:pPr>
        <w:pStyle w:val="3"/>
        <w:spacing w:before="11"/>
        <w:ind w:left="0"/>
        <w:rPr>
          <w:rFonts w:ascii="微软雅黑"/>
          <w:sz w:val="10"/>
        </w:rPr>
      </w:pPr>
    </w:p>
    <w:p>
      <w:pPr>
        <w:pStyle w:val="8"/>
        <w:numPr>
          <w:ilvl w:val="0"/>
          <w:numId w:val="36"/>
        </w:numPr>
        <w:tabs>
          <w:tab w:val="left" w:pos="2481"/>
        </w:tabs>
        <w:spacing w:before="37" w:after="0" w:line="240" w:lineRule="auto"/>
        <w:ind w:left="2480" w:right="0" w:hanging="201"/>
        <w:jc w:val="left"/>
        <w:rPr>
          <w:sz w:val="24"/>
        </w:rPr>
      </w:pPr>
      <w:r>
        <w:rPr>
          <w:color w:val="333333"/>
          <w:spacing w:val="-3"/>
          <w:sz w:val="24"/>
        </w:rPr>
        <w:t>企业重组中取得股权支付的原主要股东</w:t>
      </w:r>
      <w:r>
        <w:rPr>
          <w:color w:val="333333"/>
          <w:sz w:val="24"/>
        </w:rPr>
        <w:t>（指原持有转让企业或被收购企业</w:t>
      </w:r>
    </w:p>
    <w:p>
      <w:pPr>
        <w:pStyle w:val="3"/>
        <w:spacing w:before="182"/>
        <w:rPr>
          <w:rFonts w:hint="eastAsia" w:ascii="微软雅黑" w:eastAsia="微软雅黑"/>
        </w:rPr>
      </w:pPr>
      <w:r>
        <w:rPr>
          <w:rFonts w:hint="eastAsia" w:ascii="微软雅黑" w:eastAsia="微软雅黑"/>
          <w:color w:val="333333"/>
        </w:rPr>
        <w:t>20%以上股权的股东），在重组后连续 12 个月内，不得转让所取得的股权。</w:t>
      </w:r>
    </w:p>
    <w:p>
      <w:pPr>
        <w:spacing w:before="181"/>
        <w:ind w:left="2280" w:right="0" w:firstLine="0"/>
        <w:jc w:val="left"/>
        <w:rPr>
          <w:rFonts w:hint="eastAsia" w:ascii="微软雅黑" w:eastAsia="微软雅黑"/>
          <w:b/>
          <w:sz w:val="24"/>
        </w:rPr>
      </w:pPr>
      <w:r>
        <w:rPr>
          <w:rFonts w:hint="eastAsia" w:ascii="微软雅黑" w:eastAsia="微软雅黑"/>
          <w:b/>
          <w:color w:val="333333"/>
          <w:sz w:val="24"/>
        </w:rPr>
        <w:t>【备案资料】</w:t>
      </w:r>
    </w:p>
    <w:p>
      <w:pPr>
        <w:pStyle w:val="3"/>
        <w:spacing w:before="182"/>
        <w:ind w:left="2280"/>
        <w:rPr>
          <w:rFonts w:hint="eastAsia" w:ascii="微软雅黑" w:eastAsia="微软雅黑"/>
        </w:rPr>
      </w:pPr>
      <w:r>
        <w:rPr>
          <w:rFonts w:hint="eastAsia" w:ascii="微软雅黑" w:eastAsia="微软雅黑"/>
          <w:color w:val="333333"/>
        </w:rPr>
        <w:t>1.适用一般性税务处理的相关资料</w:t>
      </w:r>
    </w:p>
    <w:p>
      <w:pPr>
        <w:pStyle w:val="3"/>
        <w:spacing w:before="181" w:line="338" w:lineRule="auto"/>
        <w:ind w:right="1797" w:firstLine="480"/>
        <w:rPr>
          <w:rFonts w:hint="eastAsia" w:ascii="微软雅黑" w:eastAsia="微软雅黑"/>
        </w:rPr>
      </w:pPr>
      <w:r>
        <w:rPr>
          <w:rFonts w:hint="eastAsia" w:ascii="微软雅黑" w:eastAsia="微软雅黑"/>
          <w:color w:val="333333"/>
          <w:spacing w:val="-8"/>
        </w:rPr>
        <w:t>一般性税务处理规定中，被合并企业应当按清算进行所得税处理，在按规定</w:t>
      </w:r>
      <w:r>
        <w:rPr>
          <w:rFonts w:hint="eastAsia" w:ascii="微软雅黑" w:eastAsia="微软雅黑"/>
          <w:color w:val="333333"/>
        </w:rPr>
        <w:t>报送《企业清算所得纳税申报表》时，还应同时附送以下资料：</w:t>
      </w:r>
    </w:p>
    <w:p>
      <w:pPr>
        <w:pStyle w:val="8"/>
        <w:numPr>
          <w:ilvl w:val="0"/>
          <w:numId w:val="37"/>
        </w:numPr>
        <w:tabs>
          <w:tab w:val="left" w:pos="2901"/>
        </w:tabs>
        <w:spacing w:before="1" w:after="0" w:line="240" w:lineRule="auto"/>
        <w:ind w:left="2900" w:right="0" w:hanging="621"/>
        <w:jc w:val="left"/>
        <w:rPr>
          <w:sz w:val="24"/>
        </w:rPr>
      </w:pPr>
      <w:r>
        <w:rPr>
          <w:color w:val="333333"/>
          <w:sz w:val="24"/>
        </w:rPr>
        <w:t>企业合并的工商部门或其他政府部门的批准文件；</w:t>
      </w:r>
    </w:p>
    <w:p>
      <w:pPr>
        <w:pStyle w:val="8"/>
        <w:numPr>
          <w:ilvl w:val="0"/>
          <w:numId w:val="37"/>
        </w:numPr>
        <w:tabs>
          <w:tab w:val="left" w:pos="2901"/>
        </w:tabs>
        <w:spacing w:before="181" w:after="0" w:line="240" w:lineRule="auto"/>
        <w:ind w:left="2900" w:right="0" w:hanging="621"/>
        <w:jc w:val="left"/>
        <w:rPr>
          <w:sz w:val="24"/>
        </w:rPr>
      </w:pPr>
      <w:r>
        <w:rPr>
          <w:color w:val="333333"/>
          <w:sz w:val="24"/>
        </w:rPr>
        <w:t>企业全部资产和负债的计税基础以及评估机构出具的资产评估报告；</w:t>
      </w:r>
    </w:p>
    <w:p>
      <w:pPr>
        <w:pStyle w:val="8"/>
        <w:numPr>
          <w:ilvl w:val="0"/>
          <w:numId w:val="37"/>
        </w:numPr>
        <w:tabs>
          <w:tab w:val="left" w:pos="2901"/>
        </w:tabs>
        <w:spacing w:before="182" w:after="0" w:line="240" w:lineRule="auto"/>
        <w:ind w:left="2900" w:right="0" w:hanging="621"/>
        <w:jc w:val="left"/>
        <w:rPr>
          <w:sz w:val="24"/>
        </w:rPr>
      </w:pPr>
      <w:r>
        <w:pict>
          <v:shape id="_x0000_s1057" o:spid="_x0000_s1057" o:spt="136" type="#_x0000_t136" style="position:absolute;left:0pt;margin-left:41.25pt;margin-top:32.6pt;height:132pt;width:528.05pt;mso-position-horizontal-relative:page;rotation:20643840f;z-index:-251624448;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color w:val="333333"/>
          <w:sz w:val="24"/>
        </w:rPr>
        <w:t>企业债务处理或归属情况说明；</w:t>
      </w:r>
    </w:p>
    <w:p>
      <w:pPr>
        <w:pStyle w:val="8"/>
        <w:numPr>
          <w:ilvl w:val="0"/>
          <w:numId w:val="37"/>
        </w:numPr>
        <w:tabs>
          <w:tab w:val="left" w:pos="2901"/>
        </w:tabs>
        <w:spacing w:before="182" w:after="0" w:line="338" w:lineRule="auto"/>
        <w:ind w:left="2280" w:right="4684" w:firstLine="0"/>
        <w:jc w:val="left"/>
        <w:rPr>
          <w:sz w:val="24"/>
        </w:rPr>
      </w:pPr>
      <w:r>
        <w:rPr>
          <w:color w:val="333333"/>
          <w:spacing w:val="-1"/>
          <w:sz w:val="24"/>
        </w:rPr>
        <w:t>主管税务机关要求提供的其他资料证明。</w:t>
      </w:r>
      <w:r>
        <w:rPr>
          <w:color w:val="333333"/>
          <w:sz w:val="24"/>
        </w:rPr>
        <w:t>2.适用特殊性税务处理应报送的资料</w:t>
      </w:r>
    </w:p>
    <w:p>
      <w:pPr>
        <w:pStyle w:val="8"/>
        <w:numPr>
          <w:ilvl w:val="0"/>
          <w:numId w:val="38"/>
        </w:numPr>
        <w:tabs>
          <w:tab w:val="left" w:pos="2901"/>
        </w:tabs>
        <w:spacing w:before="0" w:after="0" w:line="240" w:lineRule="auto"/>
        <w:ind w:left="2900" w:right="0" w:hanging="621"/>
        <w:jc w:val="left"/>
        <w:rPr>
          <w:sz w:val="24"/>
        </w:rPr>
      </w:pPr>
      <w:r>
        <w:rPr>
          <w:color w:val="333333"/>
          <w:sz w:val="24"/>
        </w:rPr>
        <w:t>基本资料</w:t>
      </w:r>
    </w:p>
    <w:p>
      <w:pPr>
        <w:pStyle w:val="3"/>
        <w:spacing w:before="182" w:line="338" w:lineRule="auto"/>
        <w:ind w:right="1797" w:firstLine="480"/>
        <w:jc w:val="both"/>
        <w:rPr>
          <w:rFonts w:hint="eastAsia" w:ascii="微软雅黑" w:hAnsi="微软雅黑" w:eastAsia="微软雅黑"/>
        </w:rPr>
      </w:pPr>
      <w:r>
        <w:rPr>
          <w:rFonts w:hint="eastAsia" w:ascii="微软雅黑" w:hAnsi="微软雅黑" w:eastAsia="微软雅黑"/>
          <w:color w:val="333333"/>
          <w:spacing w:val="-6"/>
        </w:rPr>
        <w:t>①重组各方应在该重组业务完成当年，办理企业所得税年度申报时，分别向</w:t>
      </w:r>
      <w:r>
        <w:rPr>
          <w:rFonts w:hint="eastAsia" w:ascii="微软雅黑" w:hAnsi="微软雅黑" w:eastAsia="微软雅黑"/>
          <w:color w:val="333333"/>
          <w:spacing w:val="-8"/>
        </w:rPr>
        <w:t>各自主管税务机关报送《企业重组所得税特殊性税务处理报告表及附表》和其他</w:t>
      </w:r>
      <w:r>
        <w:rPr>
          <w:rFonts w:hint="eastAsia" w:ascii="微软雅黑" w:hAnsi="微软雅黑" w:eastAsia="微软雅黑"/>
          <w:color w:val="333333"/>
          <w:spacing w:val="-10"/>
        </w:rPr>
        <w:t>申报资料。重组主导方申报后，其他当事方向其主管税务机关办理纳税申报。申</w:t>
      </w:r>
      <w:r>
        <w:rPr>
          <w:rFonts w:hint="eastAsia" w:ascii="微软雅黑" w:hAnsi="微软雅黑" w:eastAsia="微软雅黑"/>
          <w:color w:val="333333"/>
          <w:spacing w:val="-6"/>
        </w:rPr>
        <w:t>报时还应附送重组主导方经主管税务机关受理的《企业重组所得税特殊性税务处</w:t>
      </w:r>
      <w:r>
        <w:rPr>
          <w:rFonts w:hint="eastAsia" w:ascii="微软雅黑" w:hAnsi="微软雅黑" w:eastAsia="微软雅黑"/>
          <w:color w:val="333333"/>
        </w:rPr>
        <w:t>理报告表及附表》（复印件）。</w:t>
      </w:r>
    </w:p>
    <w:p>
      <w:pPr>
        <w:pStyle w:val="3"/>
        <w:spacing w:line="338" w:lineRule="auto"/>
        <w:ind w:right="1797" w:firstLine="480"/>
        <w:jc w:val="both"/>
        <w:rPr>
          <w:rFonts w:hint="eastAsia" w:ascii="微软雅黑" w:hAnsi="微软雅黑" w:eastAsia="微软雅黑"/>
        </w:rPr>
      </w:pPr>
      <w:r>
        <w:rPr>
          <w:rFonts w:hint="eastAsia" w:ascii="微软雅黑" w:hAnsi="微软雅黑" w:eastAsia="微软雅黑"/>
          <w:color w:val="333333"/>
          <w:spacing w:val="-5"/>
        </w:rPr>
        <w:t>②当事各方应在完成重组业务后的下一年度的企业所得税年度申报时，向主</w:t>
      </w:r>
      <w:r>
        <w:rPr>
          <w:rFonts w:hint="eastAsia" w:ascii="微软雅黑" w:hAnsi="微软雅黑" w:eastAsia="微软雅黑"/>
          <w:color w:val="333333"/>
          <w:spacing w:val="-2"/>
        </w:rPr>
        <w:t xml:space="preserve">管税务机关提交书面情况说明，以证明企业在重组后的连续 </w:t>
      </w:r>
      <w:r>
        <w:rPr>
          <w:rFonts w:hint="eastAsia" w:ascii="微软雅黑" w:hAnsi="微软雅黑" w:eastAsia="微软雅黑"/>
          <w:color w:val="333333"/>
        </w:rPr>
        <w:t>12</w:t>
      </w:r>
      <w:r>
        <w:rPr>
          <w:rFonts w:hint="eastAsia" w:ascii="微软雅黑" w:hAnsi="微软雅黑" w:eastAsia="微软雅黑"/>
          <w:color w:val="333333"/>
          <w:spacing w:val="-7"/>
        </w:rPr>
        <w:t xml:space="preserve"> 个月内，有关符</w:t>
      </w:r>
      <w:r>
        <w:rPr>
          <w:rFonts w:hint="eastAsia" w:ascii="微软雅黑" w:hAnsi="微软雅黑" w:eastAsia="微软雅黑"/>
          <w:color w:val="333333"/>
        </w:rPr>
        <w:t>合特殊性税务处理的条件未发生改变。</w:t>
      </w:r>
    </w:p>
    <w:p>
      <w:pPr>
        <w:pStyle w:val="3"/>
        <w:ind w:left="0" w:right="1797"/>
        <w:jc w:val="right"/>
        <w:rPr>
          <w:rFonts w:hint="eastAsia" w:ascii="微软雅黑" w:hAnsi="微软雅黑" w:eastAsia="微软雅黑"/>
        </w:rPr>
      </w:pPr>
      <w:r>
        <w:rPr>
          <w:rFonts w:hint="eastAsia" w:ascii="微软雅黑" w:hAnsi="微软雅黑" w:eastAsia="微软雅黑"/>
          <w:color w:val="333333"/>
          <w:spacing w:val="-5"/>
        </w:rPr>
        <w:t>③企业重组业务适用特殊性税务处理的，申报时，当事各方还应向主管税务</w:t>
      </w:r>
    </w:p>
    <w:p>
      <w:pPr>
        <w:pStyle w:val="3"/>
        <w:spacing w:before="181"/>
        <w:ind w:left="0" w:right="1797"/>
        <w:jc w:val="right"/>
        <w:rPr>
          <w:rFonts w:hint="eastAsia" w:ascii="微软雅黑" w:eastAsia="微软雅黑"/>
        </w:rPr>
      </w:pPr>
      <w:r>
        <w:rPr>
          <w:rFonts w:hint="eastAsia" w:ascii="微软雅黑" w:eastAsia="微软雅黑"/>
          <w:color w:val="333333"/>
          <w:spacing w:val="-2"/>
        </w:rPr>
        <w:t xml:space="preserve">机关提交重组前连续 </w:t>
      </w:r>
      <w:r>
        <w:rPr>
          <w:rFonts w:hint="eastAsia" w:ascii="微软雅黑" w:eastAsia="微软雅黑"/>
          <w:color w:val="333333"/>
        </w:rPr>
        <w:t>12</w:t>
      </w:r>
      <w:r>
        <w:rPr>
          <w:rFonts w:hint="eastAsia" w:ascii="微软雅黑" w:eastAsia="微软雅黑"/>
          <w:color w:val="333333"/>
          <w:spacing w:val="-4"/>
        </w:rPr>
        <w:t xml:space="preserve"> 个月内有无与该重组相关的其他股权、资产交易情况的</w:t>
      </w:r>
    </w:p>
    <w:p>
      <w:pPr>
        <w:spacing w:after="0"/>
        <w:jc w:val="right"/>
        <w:rPr>
          <w:rFonts w:hint="eastAsia" w:ascii="微软雅黑" w:eastAsia="微软雅黑"/>
        </w:rPr>
        <w:sectPr>
          <w:pgSz w:w="11910" w:h="16840"/>
          <w:pgMar w:top="1540" w:right="0" w:bottom="1380" w:left="0" w:header="965" w:footer="1182" w:gutter="0"/>
          <w:cols w:space="720" w:num="1"/>
        </w:sectPr>
      </w:pPr>
    </w:p>
    <w:p>
      <w:pPr>
        <w:pStyle w:val="3"/>
        <w:spacing w:before="11"/>
        <w:ind w:left="0"/>
        <w:rPr>
          <w:rFonts w:ascii="微软雅黑"/>
          <w:sz w:val="10"/>
        </w:rPr>
      </w:pPr>
    </w:p>
    <w:p>
      <w:pPr>
        <w:pStyle w:val="3"/>
        <w:spacing w:before="37" w:line="338" w:lineRule="auto"/>
        <w:ind w:right="1797"/>
        <w:rPr>
          <w:rFonts w:hint="eastAsia" w:ascii="微软雅黑" w:eastAsia="微软雅黑"/>
        </w:rPr>
      </w:pPr>
      <w:r>
        <w:rPr>
          <w:rFonts w:hint="eastAsia" w:ascii="微软雅黑" w:eastAsia="微软雅黑"/>
          <w:color w:val="333333"/>
          <w:spacing w:val="-10"/>
        </w:rPr>
        <w:t>说明，并说明这些交易与该重组是否构成分步交易，是否作为一项企业重组业务</w:t>
      </w:r>
      <w:r>
        <w:rPr>
          <w:rFonts w:hint="eastAsia" w:ascii="微软雅黑" w:eastAsia="微软雅黑"/>
          <w:color w:val="333333"/>
        </w:rPr>
        <w:t>进行处理。</w:t>
      </w:r>
    </w:p>
    <w:p>
      <w:pPr>
        <w:pStyle w:val="8"/>
        <w:numPr>
          <w:ilvl w:val="0"/>
          <w:numId w:val="38"/>
        </w:numPr>
        <w:tabs>
          <w:tab w:val="left" w:pos="2901"/>
        </w:tabs>
        <w:spacing w:before="0" w:after="0" w:line="240" w:lineRule="auto"/>
        <w:ind w:left="2900" w:right="0" w:hanging="621"/>
        <w:jc w:val="left"/>
        <w:rPr>
          <w:sz w:val="24"/>
        </w:rPr>
      </w:pPr>
      <w:r>
        <w:rPr>
          <w:color w:val="333333"/>
          <w:sz w:val="24"/>
        </w:rPr>
        <w:t>其他申报资料</w:t>
      </w:r>
    </w:p>
    <w:p>
      <w:pPr>
        <w:pStyle w:val="3"/>
        <w:spacing w:before="182" w:line="338" w:lineRule="auto"/>
        <w:ind w:right="1797" w:firstLine="480"/>
        <w:rPr>
          <w:rFonts w:hint="eastAsia" w:ascii="微软雅黑" w:hAnsi="微软雅黑" w:eastAsia="微软雅黑"/>
        </w:rPr>
      </w:pPr>
      <w:r>
        <w:rPr>
          <w:rFonts w:hint="eastAsia" w:ascii="微软雅黑" w:hAnsi="微软雅黑" w:eastAsia="微软雅黑"/>
          <w:color w:val="333333"/>
          <w:spacing w:val="-8"/>
        </w:rPr>
        <w:t>①企业合并的总体情况说明，包括合并方案、基本情况，并逐条说明企业合</w:t>
      </w:r>
      <w:r>
        <w:rPr>
          <w:rFonts w:hint="eastAsia" w:ascii="微软雅黑" w:hAnsi="微软雅黑" w:eastAsia="微软雅黑"/>
          <w:color w:val="333333"/>
        </w:rPr>
        <w:t>并的商业目的；</w:t>
      </w:r>
    </w:p>
    <w:p>
      <w:pPr>
        <w:pStyle w:val="3"/>
        <w:spacing w:before="0" w:line="338" w:lineRule="auto"/>
        <w:ind w:right="1797" w:firstLine="480"/>
        <w:rPr>
          <w:rFonts w:hint="eastAsia" w:ascii="微软雅黑" w:hAnsi="微软雅黑" w:eastAsia="微软雅黑"/>
        </w:rPr>
      </w:pPr>
      <w:r>
        <w:rPr>
          <w:rFonts w:hint="eastAsia" w:ascii="微软雅黑" w:hAnsi="微软雅黑" w:eastAsia="微软雅黑"/>
          <w:color w:val="333333"/>
          <w:spacing w:val="-5"/>
        </w:rPr>
        <w:t>②企业合并协议或决议，需有权部门</w:t>
      </w:r>
      <w:r>
        <w:rPr>
          <w:rFonts w:hint="eastAsia" w:ascii="微软雅黑" w:hAnsi="微软雅黑" w:eastAsia="微软雅黑"/>
          <w:color w:val="333333"/>
        </w:rPr>
        <w:t>（包括内部和外部</w:t>
      </w:r>
      <w:r>
        <w:rPr>
          <w:rFonts w:hint="eastAsia" w:ascii="微软雅黑" w:hAnsi="微软雅黑" w:eastAsia="微软雅黑"/>
          <w:color w:val="333333"/>
          <w:spacing w:val="-24"/>
        </w:rPr>
        <w:t>）</w:t>
      </w:r>
      <w:r>
        <w:rPr>
          <w:rFonts w:hint="eastAsia" w:ascii="微软雅黑" w:hAnsi="微软雅黑" w:eastAsia="微软雅黑"/>
          <w:color w:val="333333"/>
          <w:spacing w:val="-7"/>
        </w:rPr>
        <w:t>批准的，应提供批</w:t>
      </w:r>
      <w:r>
        <w:rPr>
          <w:rFonts w:hint="eastAsia" w:ascii="微软雅黑" w:hAnsi="微软雅黑" w:eastAsia="微软雅黑"/>
          <w:color w:val="333333"/>
        </w:rPr>
        <w:t>准文件；</w:t>
      </w:r>
    </w:p>
    <w:p>
      <w:pPr>
        <w:pStyle w:val="3"/>
        <w:spacing w:line="338" w:lineRule="auto"/>
        <w:ind w:right="1797" w:firstLine="480"/>
        <w:jc w:val="both"/>
        <w:rPr>
          <w:rFonts w:hint="eastAsia" w:ascii="微软雅黑" w:hAnsi="微软雅黑" w:eastAsia="微软雅黑"/>
        </w:rPr>
      </w:pPr>
      <w:r>
        <w:pict>
          <v:shape id="_x0000_s1058" o:spid="_x0000_s1058" o:spt="136" type="#_x0000_t136" style="position:absolute;left:0pt;margin-left:41.25pt;margin-top:54.75pt;height:132pt;width:528.05pt;mso-position-horizontal-relative:page;rotation:20643840f;z-index:-251623424;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hAnsi="微软雅黑" w:eastAsia="微软雅黑"/>
          <w:color w:val="333333"/>
          <w:spacing w:val="-7"/>
        </w:rPr>
        <w:t>③企业合并当事各方的股权关系说明，若属同一控制下且不需支付对价的合</w:t>
      </w:r>
      <w:r>
        <w:rPr>
          <w:rFonts w:hint="eastAsia" w:ascii="微软雅黑" w:hAnsi="微软雅黑" w:eastAsia="微软雅黑"/>
          <w:color w:val="333333"/>
          <w:spacing w:val="-5"/>
        </w:rPr>
        <w:t xml:space="preserve">并，还需提供在企业合并前，参与合并各方受最终控制方的控制在 </w:t>
      </w:r>
      <w:r>
        <w:rPr>
          <w:rFonts w:hint="eastAsia" w:ascii="微软雅黑" w:hAnsi="微软雅黑" w:eastAsia="微软雅黑"/>
          <w:color w:val="333333"/>
        </w:rPr>
        <w:t>12</w:t>
      </w:r>
      <w:r>
        <w:rPr>
          <w:rFonts w:hint="eastAsia" w:ascii="微软雅黑" w:hAnsi="微软雅黑" w:eastAsia="微软雅黑"/>
          <w:color w:val="333333"/>
          <w:spacing w:val="-6"/>
        </w:rPr>
        <w:t xml:space="preserve"> 个月以上</w:t>
      </w:r>
      <w:r>
        <w:rPr>
          <w:rFonts w:hint="eastAsia" w:ascii="微软雅黑" w:hAnsi="微软雅黑" w:eastAsia="微软雅黑"/>
          <w:color w:val="333333"/>
        </w:rPr>
        <w:t>的证明材料；</w:t>
      </w:r>
    </w:p>
    <w:p>
      <w:pPr>
        <w:pStyle w:val="3"/>
        <w:spacing w:line="338" w:lineRule="auto"/>
        <w:ind w:right="1797" w:firstLine="480"/>
        <w:rPr>
          <w:rFonts w:hint="eastAsia" w:ascii="微软雅黑" w:hAnsi="微软雅黑" w:eastAsia="微软雅黑"/>
        </w:rPr>
      </w:pPr>
      <w:r>
        <w:rPr>
          <w:rFonts w:hint="eastAsia" w:ascii="微软雅黑" w:hAnsi="微软雅黑" w:eastAsia="微软雅黑"/>
          <w:color w:val="333333"/>
        </w:rPr>
        <w:t>④被合并企业净资产、各单项资产和负债的账面价值和计税基础等相关资料；</w:t>
      </w:r>
    </w:p>
    <w:p>
      <w:pPr>
        <w:pStyle w:val="3"/>
        <w:spacing w:before="0" w:line="338" w:lineRule="auto"/>
        <w:ind w:right="1797" w:firstLine="480"/>
        <w:rPr>
          <w:rFonts w:hint="eastAsia" w:ascii="微软雅黑" w:hAnsi="微软雅黑" w:eastAsia="微软雅黑"/>
        </w:rPr>
      </w:pPr>
      <w:r>
        <w:rPr>
          <w:rFonts w:hint="eastAsia" w:ascii="微软雅黑" w:hAnsi="微软雅黑" w:eastAsia="微软雅黑"/>
          <w:color w:val="333333"/>
        </w:rPr>
        <w:t>⑤12 个月内不改变资产原来的实质性经营活动、原主要股东不转让所取得股权的承诺书；</w:t>
      </w:r>
    </w:p>
    <w:p>
      <w:pPr>
        <w:pStyle w:val="3"/>
        <w:ind w:left="2280"/>
        <w:rPr>
          <w:rFonts w:hint="eastAsia" w:ascii="微软雅黑" w:hAnsi="微软雅黑" w:eastAsia="微软雅黑"/>
        </w:rPr>
      </w:pPr>
      <w:r>
        <w:rPr>
          <w:rFonts w:hint="eastAsia" w:ascii="微软雅黑" w:hAnsi="微软雅黑" w:eastAsia="微软雅黑"/>
          <w:color w:val="333333"/>
        </w:rPr>
        <w:t>⑥工商管理部门等有权机关登记的相关企业股权变更事项的证明材料；</w:t>
      </w:r>
    </w:p>
    <w:p>
      <w:pPr>
        <w:pStyle w:val="3"/>
        <w:spacing w:before="181" w:line="338" w:lineRule="auto"/>
        <w:ind w:right="1797" w:firstLine="480"/>
        <w:rPr>
          <w:rFonts w:hint="eastAsia" w:ascii="微软雅黑" w:hAnsi="微软雅黑" w:eastAsia="微软雅黑"/>
        </w:rPr>
      </w:pPr>
      <w:r>
        <w:rPr>
          <w:rFonts w:hint="eastAsia" w:ascii="微软雅黑" w:hAnsi="微软雅黑" w:eastAsia="微软雅黑"/>
          <w:color w:val="333333"/>
          <w:spacing w:val="-3"/>
        </w:rPr>
        <w:t>⑦合并企业承继被合并企业相关所得税事项</w:t>
      </w:r>
      <w:r>
        <w:rPr>
          <w:rFonts w:hint="eastAsia" w:ascii="微软雅黑" w:hAnsi="微软雅黑" w:eastAsia="微软雅黑"/>
          <w:color w:val="333333"/>
        </w:rPr>
        <w:t>（</w:t>
      </w:r>
      <w:r>
        <w:rPr>
          <w:rFonts w:hint="eastAsia" w:ascii="微软雅黑" w:hAnsi="微软雅黑" w:eastAsia="微软雅黑"/>
          <w:color w:val="333333"/>
          <w:spacing w:val="-5"/>
        </w:rPr>
        <w:t>包括尚未确认的资产损失、分</w:t>
      </w:r>
      <w:r>
        <w:rPr>
          <w:rFonts w:hint="eastAsia" w:ascii="微软雅黑" w:hAnsi="微软雅黑" w:eastAsia="微软雅黑"/>
          <w:color w:val="333333"/>
        </w:rPr>
        <w:t>期确认收入和尚未享受期满的税收优惠政策等）情况说明；</w:t>
      </w:r>
    </w:p>
    <w:p>
      <w:pPr>
        <w:pStyle w:val="3"/>
        <w:spacing w:line="338" w:lineRule="auto"/>
        <w:ind w:right="1797" w:firstLine="480"/>
        <w:rPr>
          <w:rFonts w:hint="eastAsia" w:ascii="微软雅黑" w:hAnsi="微软雅黑" w:eastAsia="微软雅黑"/>
        </w:rPr>
      </w:pPr>
      <w:r>
        <w:rPr>
          <w:rFonts w:hint="eastAsia" w:ascii="微软雅黑" w:hAnsi="微软雅黑" w:eastAsia="微软雅黑"/>
          <w:color w:val="333333"/>
          <w:spacing w:val="-6"/>
        </w:rPr>
        <w:t>⑧涉及可由合并企业弥补被合并企业亏损的，需要提供其合并日净资产公允</w:t>
      </w:r>
      <w:r>
        <w:rPr>
          <w:rFonts w:hint="eastAsia" w:ascii="微软雅黑" w:hAnsi="微软雅黑" w:eastAsia="微软雅黑"/>
          <w:color w:val="333333"/>
        </w:rPr>
        <w:t>价值证明材料及主管税务机关确认的亏损弥补情况说明；</w:t>
      </w:r>
    </w:p>
    <w:p>
      <w:pPr>
        <w:pStyle w:val="3"/>
        <w:spacing w:before="0"/>
        <w:ind w:left="2280"/>
        <w:rPr>
          <w:rFonts w:hint="eastAsia" w:ascii="微软雅黑" w:hAnsi="微软雅黑" w:eastAsia="微软雅黑"/>
        </w:rPr>
      </w:pPr>
      <w:r>
        <w:rPr>
          <w:rFonts w:hint="eastAsia" w:ascii="微软雅黑" w:hAnsi="微软雅黑" w:eastAsia="微软雅黑"/>
          <w:color w:val="333333"/>
        </w:rPr>
        <w:t>⑨重组当事各方一致选择特殊性税务处理并加盖当事各方公章的证明资料；</w:t>
      </w:r>
    </w:p>
    <w:p>
      <w:pPr>
        <w:pStyle w:val="3"/>
        <w:spacing w:before="4" w:line="620" w:lineRule="atLeast"/>
        <w:ind w:right="1797" w:firstLine="480"/>
        <w:rPr>
          <w:rFonts w:hint="eastAsia" w:ascii="微软雅黑" w:hAnsi="微软雅黑" w:eastAsia="微软雅黑"/>
        </w:rPr>
      </w:pPr>
      <w:r>
        <w:rPr>
          <w:rFonts w:hint="eastAsia" w:ascii="微软雅黑" w:hAnsi="微软雅黑" w:eastAsia="微软雅黑"/>
          <w:color w:val="333333"/>
          <w:spacing w:val="-9"/>
        </w:rPr>
        <w:t>⑩涉及非货币性资产支付的，应提供非货币性资产评估报告或其他公允价值</w:t>
      </w:r>
      <w:r>
        <w:rPr>
          <w:rFonts w:hint="eastAsia" w:ascii="微软雅黑" w:hAnsi="微软雅黑" w:eastAsia="微软雅黑"/>
          <w:color w:val="333333"/>
        </w:rPr>
        <w:t>证明；</w:t>
      </w:r>
    </w:p>
    <w:p>
      <w:pPr>
        <w:spacing w:after="0" w:line="620" w:lineRule="atLeast"/>
        <w:rPr>
          <w:rFonts w:hint="eastAsia" w:ascii="微软雅黑" w:hAnsi="微软雅黑" w:eastAsia="微软雅黑"/>
        </w:rPr>
        <w:sectPr>
          <w:pgSz w:w="11910" w:h="16840"/>
          <w:pgMar w:top="1540" w:right="0" w:bottom="1380" w:left="0" w:header="965" w:footer="1182" w:gutter="0"/>
          <w:cols w:space="720" w:num="1"/>
        </w:sectPr>
      </w:pPr>
    </w:p>
    <w:p>
      <w:pPr>
        <w:pStyle w:val="3"/>
        <w:spacing w:before="11"/>
        <w:ind w:left="0"/>
        <w:rPr>
          <w:rFonts w:ascii="微软雅黑"/>
          <w:sz w:val="10"/>
        </w:rPr>
      </w:pPr>
    </w:p>
    <w:p>
      <w:pPr>
        <w:pStyle w:val="3"/>
        <w:spacing w:before="37" w:line="338" w:lineRule="auto"/>
        <w:ind w:right="1797" w:firstLine="480"/>
        <w:jc w:val="both"/>
        <w:rPr>
          <w:rFonts w:hint="eastAsia" w:ascii="微软雅黑" w:hAnsi="微软雅黑" w:eastAsia="微软雅黑"/>
        </w:rPr>
      </w:pPr>
      <w:r>
        <w:rPr>
          <w:rFonts w:ascii="Cambria Math" w:hAnsi="Cambria Math" w:eastAsia="Cambria Math"/>
          <w:color w:val="333333"/>
        </w:rPr>
        <w:t>⑪</w:t>
      </w:r>
      <w:r>
        <w:rPr>
          <w:rFonts w:hint="eastAsia" w:ascii="微软雅黑" w:hAnsi="微软雅黑" w:eastAsia="微软雅黑"/>
          <w:color w:val="333333"/>
        </w:rPr>
        <w:t>重组前连续 12 个月内有无与该重组相关的其他股权、资产交易,与该重组是否构成分步交易、是否作为一项企业重组业务进行处理情况的说明；</w:t>
      </w:r>
    </w:p>
    <w:p>
      <w:pPr>
        <w:pStyle w:val="3"/>
        <w:spacing w:before="0" w:line="338" w:lineRule="auto"/>
        <w:ind w:right="1797" w:firstLine="480"/>
        <w:jc w:val="both"/>
        <w:rPr>
          <w:rFonts w:hint="eastAsia" w:ascii="微软雅黑" w:hAnsi="微软雅黑" w:eastAsia="微软雅黑"/>
        </w:rPr>
      </w:pPr>
      <w:r>
        <w:rPr>
          <w:rFonts w:ascii="Cambria Math" w:hAnsi="Cambria Math" w:eastAsia="Cambria Math"/>
          <w:color w:val="333333"/>
        </w:rPr>
        <w:t>⑫</w:t>
      </w:r>
      <w:r>
        <w:rPr>
          <w:rFonts w:hint="eastAsia" w:ascii="微软雅黑" w:hAnsi="微软雅黑" w:eastAsia="微软雅黑"/>
          <w:color w:val="333333"/>
        </w:rPr>
        <w:t>按会计准则规定当期应确认资产</w:t>
      </w:r>
      <w:r>
        <w:rPr>
          <w:rFonts w:hint="eastAsia" w:ascii="微软雅黑" w:hAnsi="微软雅黑" w:eastAsia="微软雅黑"/>
          <w:color w:val="333333"/>
          <w:spacing w:val="4"/>
        </w:rPr>
        <w:t>（</w:t>
      </w:r>
      <w:r>
        <w:rPr>
          <w:rFonts w:hint="eastAsia" w:ascii="微软雅黑" w:hAnsi="微软雅黑" w:eastAsia="微软雅黑"/>
          <w:color w:val="333333"/>
        </w:rPr>
        <w:t>股权</w:t>
      </w:r>
      <w:r>
        <w:rPr>
          <w:rFonts w:hint="eastAsia" w:ascii="微软雅黑" w:hAnsi="微软雅黑" w:eastAsia="微软雅黑"/>
          <w:color w:val="333333"/>
          <w:spacing w:val="4"/>
        </w:rPr>
        <w:t>）</w:t>
      </w:r>
      <w:r>
        <w:rPr>
          <w:rFonts w:hint="eastAsia" w:ascii="微软雅黑" w:hAnsi="微软雅黑" w:eastAsia="微软雅黑"/>
          <w:color w:val="333333"/>
        </w:rPr>
        <w:t>转让损益的，应提供按税法规</w:t>
      </w:r>
      <w:r>
        <w:rPr>
          <w:rFonts w:hint="eastAsia" w:ascii="微软雅黑" w:hAnsi="微软雅黑" w:eastAsia="微软雅黑"/>
          <w:color w:val="333333"/>
          <w:spacing w:val="-4"/>
        </w:rPr>
        <w:t>定核算的资产</w:t>
      </w:r>
      <w:r>
        <w:rPr>
          <w:rFonts w:hint="eastAsia" w:ascii="微软雅黑" w:hAnsi="微软雅黑" w:eastAsia="微软雅黑"/>
          <w:color w:val="333333"/>
        </w:rPr>
        <w:t>（股权</w:t>
      </w:r>
      <w:r>
        <w:rPr>
          <w:rFonts w:hint="eastAsia" w:ascii="微软雅黑" w:hAnsi="微软雅黑" w:eastAsia="微软雅黑"/>
          <w:color w:val="333333"/>
          <w:spacing w:val="-24"/>
        </w:rPr>
        <w:t>）</w:t>
      </w:r>
      <w:r>
        <w:rPr>
          <w:rFonts w:hint="eastAsia" w:ascii="微软雅黑" w:hAnsi="微软雅黑" w:eastAsia="微软雅黑"/>
          <w:color w:val="333333"/>
          <w:spacing w:val="-2"/>
        </w:rPr>
        <w:t>计税基础与按会计准则规定核算的相关资产</w:t>
      </w:r>
      <w:r>
        <w:rPr>
          <w:rFonts w:hint="eastAsia" w:ascii="微软雅黑" w:hAnsi="微软雅黑" w:eastAsia="微软雅黑"/>
          <w:color w:val="333333"/>
        </w:rPr>
        <w:t>（股权</w:t>
      </w:r>
      <w:r>
        <w:rPr>
          <w:rFonts w:hint="eastAsia" w:ascii="微软雅黑" w:hAnsi="微软雅黑" w:eastAsia="微软雅黑"/>
          <w:color w:val="333333"/>
          <w:spacing w:val="-25"/>
        </w:rPr>
        <w:t>）</w:t>
      </w:r>
      <w:r>
        <w:rPr>
          <w:rFonts w:hint="eastAsia" w:ascii="微软雅黑" w:hAnsi="微软雅黑" w:eastAsia="微软雅黑"/>
          <w:color w:val="333333"/>
          <w:spacing w:val="-8"/>
        </w:rPr>
        <w:t>账面</w:t>
      </w:r>
      <w:r>
        <w:rPr>
          <w:rFonts w:hint="eastAsia" w:ascii="微软雅黑" w:hAnsi="微软雅黑" w:eastAsia="微软雅黑"/>
          <w:color w:val="333333"/>
        </w:rPr>
        <w:t>价值的暂时性差异专项说明。</w:t>
      </w:r>
    </w:p>
    <w:p>
      <w:pPr>
        <w:spacing w:before="1"/>
        <w:ind w:left="2280" w:right="0" w:firstLine="0"/>
        <w:jc w:val="left"/>
        <w:rPr>
          <w:rFonts w:hint="eastAsia" w:ascii="微软雅黑" w:eastAsia="微软雅黑"/>
          <w:b/>
          <w:sz w:val="24"/>
        </w:rPr>
      </w:pPr>
      <w:r>
        <w:rPr>
          <w:rFonts w:hint="eastAsia" w:ascii="微软雅黑" w:eastAsia="微软雅黑"/>
          <w:b/>
          <w:color w:val="333333"/>
          <w:sz w:val="24"/>
        </w:rPr>
        <w:t>【政策依据】</w:t>
      </w:r>
    </w:p>
    <w:p>
      <w:pPr>
        <w:pStyle w:val="8"/>
        <w:numPr>
          <w:ilvl w:val="0"/>
          <w:numId w:val="39"/>
        </w:numPr>
        <w:tabs>
          <w:tab w:val="left" w:pos="2481"/>
        </w:tabs>
        <w:spacing w:before="182" w:after="0" w:line="240" w:lineRule="auto"/>
        <w:ind w:left="2480" w:right="0" w:hanging="201"/>
        <w:jc w:val="left"/>
        <w:rPr>
          <w:sz w:val="24"/>
        </w:rPr>
      </w:pPr>
      <w:r>
        <w:fldChar w:fldCharType="begin"/>
      </w:r>
      <w:r>
        <w:instrText xml:space="preserve"> HYPERLINK \l "_bookmark16" </w:instrText>
      </w:r>
      <w:r>
        <w:fldChar w:fldCharType="separate"/>
      </w:r>
      <w:r>
        <w:rPr>
          <w:color w:val="0000FF"/>
          <w:sz w:val="24"/>
          <w:u w:val="single" w:color="0000FF"/>
        </w:rPr>
        <w:t>《中华人民共和国企业所得税法》第二十条</w:t>
      </w:r>
      <w:r>
        <w:rPr>
          <w:color w:val="0000FF"/>
          <w:sz w:val="24"/>
          <w:u w:val="single" w:color="0000FF"/>
        </w:rPr>
        <w:fldChar w:fldCharType="end"/>
      </w:r>
    </w:p>
    <w:p>
      <w:pPr>
        <w:pStyle w:val="8"/>
        <w:numPr>
          <w:ilvl w:val="0"/>
          <w:numId w:val="39"/>
        </w:numPr>
        <w:tabs>
          <w:tab w:val="left" w:pos="2481"/>
        </w:tabs>
        <w:spacing w:before="181" w:after="0" w:line="240" w:lineRule="auto"/>
        <w:ind w:left="2480" w:right="0" w:hanging="201"/>
        <w:jc w:val="left"/>
        <w:rPr>
          <w:sz w:val="24"/>
        </w:rPr>
      </w:pPr>
      <w:r>
        <w:fldChar w:fldCharType="begin"/>
      </w:r>
      <w:r>
        <w:instrText xml:space="preserve"> HYPERLINK \l "_bookmark17" </w:instrText>
      </w:r>
      <w:r>
        <w:fldChar w:fldCharType="separate"/>
      </w:r>
      <w:r>
        <w:rPr>
          <w:color w:val="0000FF"/>
          <w:sz w:val="24"/>
          <w:u w:val="single" w:color="0000FF"/>
        </w:rPr>
        <w:t>《中华人民共和国企业所得税法实施条例》第七十五条</w:t>
      </w:r>
      <w:r>
        <w:rPr>
          <w:color w:val="0000FF"/>
          <w:sz w:val="24"/>
          <w:u w:val="single" w:color="0000FF"/>
        </w:rPr>
        <w:fldChar w:fldCharType="end"/>
      </w:r>
    </w:p>
    <w:p>
      <w:pPr>
        <w:pStyle w:val="8"/>
        <w:numPr>
          <w:ilvl w:val="0"/>
          <w:numId w:val="39"/>
        </w:numPr>
        <w:tabs>
          <w:tab w:val="left" w:pos="2484"/>
        </w:tabs>
        <w:spacing w:before="182" w:after="0" w:line="338" w:lineRule="auto"/>
        <w:ind w:left="1800" w:right="1797" w:firstLine="480"/>
        <w:jc w:val="left"/>
        <w:rPr>
          <w:sz w:val="24"/>
        </w:rPr>
      </w:pPr>
      <w:r>
        <w:pict>
          <v:shape id="_x0000_s1059" o:spid="_x0000_s1059" o:spt="136" type="#_x0000_t136" style="position:absolute;left:0pt;margin-left:41.25pt;margin-top:32.6pt;height:132pt;width:528.05pt;mso-position-horizontal-relative:page;rotation:20643840f;z-index:-251622400;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fldChar w:fldCharType="begin"/>
      </w:r>
      <w:r>
        <w:instrText xml:space="preserve"> HYPERLINK \l "_bookmark18" </w:instrText>
      </w:r>
      <w:r>
        <w:fldChar w:fldCharType="separate"/>
      </w:r>
      <w:r>
        <w:rPr>
          <w:color w:val="0000FF"/>
          <w:spacing w:val="7"/>
          <w:sz w:val="24"/>
          <w:u w:val="single" w:color="0000FF"/>
        </w:rPr>
        <w:t>《</w:t>
      </w:r>
      <w:r>
        <w:rPr>
          <w:color w:val="0000FF"/>
          <w:spacing w:val="7"/>
          <w:sz w:val="24"/>
          <w:u w:val="single" w:color="0000FF"/>
        </w:rPr>
        <w:fldChar w:fldCharType="end"/>
      </w:r>
      <w:r>
        <w:fldChar w:fldCharType="begin"/>
      </w:r>
      <w:r>
        <w:instrText xml:space="preserve"> HYPERLINK \l "_bookmark18" </w:instrText>
      </w:r>
      <w:r>
        <w:fldChar w:fldCharType="separate"/>
      </w:r>
      <w:r>
        <w:rPr>
          <w:color w:val="0000FF"/>
          <w:spacing w:val="3"/>
          <w:sz w:val="24"/>
          <w:u w:val="single" w:color="0000FF"/>
        </w:rPr>
        <w:t>财政部国家税务总局关于企业重组业务企业所得税处理若干问题的通</w:t>
      </w:r>
      <w:r>
        <w:rPr>
          <w:color w:val="0000FF"/>
          <w:spacing w:val="3"/>
          <w:sz w:val="24"/>
          <w:u w:val="single" w:color="0000FF"/>
        </w:rPr>
        <w:fldChar w:fldCharType="end"/>
      </w:r>
      <w:r>
        <w:rPr>
          <w:color w:val="0000FF"/>
          <w:spacing w:val="-231"/>
          <w:sz w:val="24"/>
          <w:u w:val="single" w:color="0000FF"/>
        </w:rPr>
        <w:t>知》</w:t>
      </w:r>
      <w:r>
        <w:rPr>
          <w:color w:val="0000FF"/>
          <w:sz w:val="24"/>
          <w:u w:val="single" w:color="0000FF"/>
        </w:rPr>
        <w:t>（财税〔2009〕59</w:t>
      </w:r>
      <w:r>
        <w:rPr>
          <w:color w:val="0000FF"/>
          <w:spacing w:val="-6"/>
          <w:sz w:val="24"/>
          <w:u w:val="single" w:color="0000FF"/>
        </w:rPr>
        <w:t xml:space="preserve"> 号</w:t>
      </w:r>
      <w:r>
        <w:rPr>
          <w:color w:val="0000FF"/>
          <w:sz w:val="24"/>
          <w:u w:val="single" w:color="0000FF"/>
        </w:rPr>
        <w:t>）</w:t>
      </w:r>
    </w:p>
    <w:p>
      <w:pPr>
        <w:pStyle w:val="8"/>
        <w:numPr>
          <w:ilvl w:val="0"/>
          <w:numId w:val="39"/>
        </w:numPr>
        <w:tabs>
          <w:tab w:val="left" w:pos="2481"/>
        </w:tabs>
        <w:spacing w:before="0" w:after="0" w:line="240" w:lineRule="auto"/>
        <w:ind w:left="2480" w:right="0" w:hanging="201"/>
        <w:jc w:val="left"/>
        <w:rPr>
          <w:sz w:val="24"/>
        </w:rPr>
      </w:pPr>
      <w:r>
        <w:fldChar w:fldCharType="begin"/>
      </w:r>
      <w:r>
        <w:instrText xml:space="preserve"> HYPERLINK \l "_bookmark19" </w:instrText>
      </w:r>
      <w:r>
        <w:fldChar w:fldCharType="separate"/>
      </w:r>
      <w:r>
        <w:rPr>
          <w:color w:val="0000FF"/>
          <w:sz w:val="24"/>
          <w:u w:val="single" w:color="0000FF"/>
        </w:rPr>
        <w:t>《</w:t>
      </w:r>
      <w:r>
        <w:rPr>
          <w:color w:val="0000FF"/>
          <w:sz w:val="24"/>
          <w:u w:val="single" w:color="0000FF"/>
        </w:rPr>
        <w:fldChar w:fldCharType="end"/>
      </w:r>
      <w:r>
        <w:fldChar w:fldCharType="begin"/>
      </w:r>
      <w:r>
        <w:instrText xml:space="preserve"> HYPERLINK \l "_bookmark19" </w:instrText>
      </w:r>
      <w:r>
        <w:fldChar w:fldCharType="separate"/>
      </w:r>
      <w:r>
        <w:rPr>
          <w:color w:val="0000FF"/>
          <w:sz w:val="24"/>
          <w:u w:val="single" w:color="0000FF"/>
        </w:rPr>
        <w:t>国家税务总局关于发布&lt;企业重组业务企业所得税管理办法&gt;的公告》</w:t>
      </w:r>
      <w:r>
        <w:rPr>
          <w:color w:val="0000FF"/>
          <w:sz w:val="24"/>
          <w:u w:val="single" w:color="0000FF"/>
        </w:rPr>
        <w:fldChar w:fldCharType="end"/>
      </w:r>
    </w:p>
    <w:p>
      <w:pPr>
        <w:pStyle w:val="3"/>
        <w:spacing w:before="182"/>
        <w:rPr>
          <w:rFonts w:hint="eastAsia" w:ascii="微软雅黑" w:eastAsia="微软雅黑"/>
        </w:rPr>
      </w:pPr>
      <w:r>
        <w:rPr>
          <w:rFonts w:hint="eastAsia" w:ascii="微软雅黑" w:eastAsia="微软雅黑"/>
          <w:color w:val="0000FF"/>
          <w:u w:val="single" w:color="0000FF"/>
        </w:rPr>
        <w:t>（国家税务总局公告 2010 年第 4 号）</w:t>
      </w:r>
    </w:p>
    <w:p>
      <w:pPr>
        <w:pStyle w:val="8"/>
        <w:numPr>
          <w:ilvl w:val="0"/>
          <w:numId w:val="39"/>
        </w:numPr>
        <w:tabs>
          <w:tab w:val="left" w:pos="2484"/>
        </w:tabs>
        <w:spacing w:before="182" w:after="0" w:line="338" w:lineRule="auto"/>
        <w:ind w:left="1800" w:right="1797" w:firstLine="480"/>
        <w:jc w:val="left"/>
        <w:rPr>
          <w:sz w:val="24"/>
        </w:rPr>
      </w:pPr>
      <w:r>
        <w:fldChar w:fldCharType="begin"/>
      </w:r>
      <w:r>
        <w:instrText xml:space="preserve"> HYPERLINK \l "_bookmark20" </w:instrText>
      </w:r>
      <w:r>
        <w:fldChar w:fldCharType="separate"/>
      </w:r>
      <w:r>
        <w:rPr>
          <w:color w:val="0000FF"/>
          <w:spacing w:val="7"/>
          <w:sz w:val="24"/>
          <w:u w:val="single" w:color="0000FF"/>
        </w:rPr>
        <w:t>《</w:t>
      </w:r>
      <w:r>
        <w:rPr>
          <w:color w:val="0000FF"/>
          <w:spacing w:val="7"/>
          <w:sz w:val="24"/>
          <w:u w:val="single" w:color="0000FF"/>
        </w:rPr>
        <w:fldChar w:fldCharType="end"/>
      </w:r>
      <w:r>
        <w:fldChar w:fldCharType="begin"/>
      </w:r>
      <w:r>
        <w:instrText xml:space="preserve"> HYPERLINK \l "_bookmark20" </w:instrText>
      </w:r>
      <w:r>
        <w:fldChar w:fldCharType="separate"/>
      </w:r>
      <w:r>
        <w:rPr>
          <w:color w:val="0000FF"/>
          <w:spacing w:val="3"/>
          <w:sz w:val="24"/>
          <w:u w:val="single" w:color="0000FF"/>
        </w:rPr>
        <w:t>财政部国家税务总局关于促进企业重组有关企业所得税处理问题的通</w:t>
      </w:r>
      <w:r>
        <w:rPr>
          <w:color w:val="0000FF"/>
          <w:spacing w:val="3"/>
          <w:sz w:val="24"/>
          <w:u w:val="single" w:color="0000FF"/>
        </w:rPr>
        <w:fldChar w:fldCharType="end"/>
      </w:r>
      <w:r>
        <w:rPr>
          <w:color w:val="0000FF"/>
          <w:spacing w:val="-231"/>
          <w:sz w:val="24"/>
          <w:u w:val="single" w:color="0000FF"/>
        </w:rPr>
        <w:t>知》</w:t>
      </w:r>
      <w:r>
        <w:rPr>
          <w:color w:val="0000FF"/>
          <w:sz w:val="24"/>
          <w:u w:val="single" w:color="0000FF"/>
        </w:rPr>
        <w:t>（财税〔2014〕109</w:t>
      </w:r>
      <w:r>
        <w:rPr>
          <w:color w:val="0000FF"/>
          <w:spacing w:val="-7"/>
          <w:sz w:val="24"/>
          <w:u w:val="single" w:color="0000FF"/>
        </w:rPr>
        <w:t xml:space="preserve"> 号</w:t>
      </w:r>
      <w:r>
        <w:rPr>
          <w:color w:val="0000FF"/>
          <w:sz w:val="24"/>
          <w:u w:val="single" w:color="0000FF"/>
        </w:rPr>
        <w:t>）</w:t>
      </w:r>
    </w:p>
    <w:p>
      <w:pPr>
        <w:pStyle w:val="8"/>
        <w:numPr>
          <w:ilvl w:val="0"/>
          <w:numId w:val="39"/>
        </w:numPr>
        <w:tabs>
          <w:tab w:val="left" w:pos="2481"/>
        </w:tabs>
        <w:spacing w:before="0" w:after="0" w:line="240" w:lineRule="auto"/>
        <w:ind w:left="2480" w:right="0" w:hanging="201"/>
        <w:jc w:val="left"/>
        <w:rPr>
          <w:sz w:val="24"/>
        </w:rPr>
      </w:pPr>
      <w:r>
        <w:fldChar w:fldCharType="begin"/>
      </w:r>
      <w:r>
        <w:instrText xml:space="preserve"> HYPERLINK \l "_bookmark21" </w:instrText>
      </w:r>
      <w:r>
        <w:fldChar w:fldCharType="separate"/>
      </w:r>
      <w:r>
        <w:rPr>
          <w:color w:val="0000FF"/>
          <w:sz w:val="24"/>
          <w:u w:val="single" w:color="0000FF"/>
        </w:rPr>
        <w:t>《国家税务总局关于企业重组业务企业所得税</w:t>
      </w:r>
      <w:r>
        <w:rPr>
          <w:color w:val="0000FF"/>
          <w:sz w:val="24"/>
          <w:u w:val="single" w:color="0000FF"/>
        </w:rPr>
        <w:fldChar w:fldCharType="end"/>
      </w:r>
      <w:r>
        <w:fldChar w:fldCharType="begin"/>
      </w:r>
      <w:r>
        <w:instrText xml:space="preserve"> HYPERLINK \l "_bookmark21" </w:instrText>
      </w:r>
      <w:r>
        <w:fldChar w:fldCharType="separate"/>
      </w:r>
      <w:r>
        <w:rPr>
          <w:color w:val="0000FF"/>
          <w:sz w:val="24"/>
          <w:u w:val="single" w:color="0000FF"/>
        </w:rPr>
        <w:t>征收管理若干问题的公告》</w:t>
      </w:r>
      <w:r>
        <w:rPr>
          <w:color w:val="0000FF"/>
          <w:sz w:val="24"/>
          <w:u w:val="single" w:color="0000FF"/>
        </w:rPr>
        <w:fldChar w:fldCharType="end"/>
      </w:r>
    </w:p>
    <w:p>
      <w:pPr>
        <w:pStyle w:val="3"/>
        <w:spacing w:before="182"/>
        <w:rPr>
          <w:rFonts w:hint="eastAsia" w:ascii="微软雅黑" w:eastAsia="微软雅黑"/>
        </w:rPr>
      </w:pPr>
      <w:r>
        <w:rPr>
          <w:rFonts w:hint="eastAsia" w:ascii="微软雅黑" w:eastAsia="微软雅黑"/>
          <w:color w:val="0000FF"/>
          <w:u w:val="single" w:color="0000FF"/>
        </w:rPr>
        <w:t>（国家税务总局公告 2015 年第 48 号）</w:t>
      </w:r>
    </w:p>
    <w:p>
      <w:pPr>
        <w:pStyle w:val="3"/>
        <w:spacing w:before="0"/>
        <w:ind w:left="0"/>
        <w:rPr>
          <w:rFonts w:ascii="微软雅黑"/>
          <w:sz w:val="20"/>
        </w:rPr>
      </w:pPr>
    </w:p>
    <w:p>
      <w:pPr>
        <w:pStyle w:val="3"/>
        <w:spacing w:before="12"/>
        <w:ind w:left="0"/>
        <w:rPr>
          <w:rFonts w:ascii="微软雅黑"/>
          <w:sz w:val="21"/>
        </w:rPr>
      </w:pPr>
    </w:p>
    <w:p>
      <w:pPr>
        <w:spacing w:before="38"/>
        <w:ind w:left="2280" w:right="0" w:firstLine="0"/>
        <w:jc w:val="left"/>
        <w:outlineLvl w:val="1"/>
        <w:rPr>
          <w:rFonts w:hint="eastAsia" w:ascii="微软雅黑" w:eastAsia="微软雅黑"/>
          <w:b/>
          <w:sz w:val="24"/>
        </w:rPr>
      </w:pPr>
      <w:r>
        <w:rPr>
          <w:rFonts w:hint="eastAsia" w:ascii="微软雅黑" w:eastAsia="微软雅黑"/>
          <w:b/>
          <w:color w:val="333333"/>
          <w:sz w:val="24"/>
        </w:rPr>
        <w:t>（六）企业分立</w:t>
      </w:r>
    </w:p>
    <w:p>
      <w:pPr>
        <w:spacing w:before="181"/>
        <w:ind w:left="2280" w:right="0" w:firstLine="0"/>
        <w:jc w:val="left"/>
        <w:rPr>
          <w:rFonts w:hint="eastAsia" w:ascii="微软雅黑" w:eastAsia="微软雅黑"/>
          <w:b/>
          <w:sz w:val="24"/>
        </w:rPr>
      </w:pPr>
      <w:r>
        <w:rPr>
          <w:rFonts w:hint="eastAsia" w:ascii="微软雅黑" w:eastAsia="微软雅黑"/>
          <w:b/>
          <w:color w:val="333333"/>
          <w:sz w:val="24"/>
        </w:rPr>
        <w:t>【适用主体】</w:t>
      </w:r>
    </w:p>
    <w:p>
      <w:pPr>
        <w:pStyle w:val="3"/>
        <w:spacing w:before="182"/>
        <w:ind w:left="2280"/>
        <w:rPr>
          <w:rFonts w:hint="eastAsia" w:ascii="微软雅黑" w:eastAsia="微软雅黑"/>
        </w:rPr>
      </w:pPr>
      <w:r>
        <w:rPr>
          <w:rFonts w:hint="eastAsia" w:ascii="微软雅黑" w:eastAsia="微软雅黑"/>
          <w:color w:val="333333"/>
        </w:rPr>
        <w:t>所有企业</w:t>
      </w:r>
    </w:p>
    <w:p>
      <w:pPr>
        <w:spacing w:before="182"/>
        <w:ind w:left="2280" w:right="0" w:firstLine="0"/>
        <w:jc w:val="left"/>
        <w:rPr>
          <w:rFonts w:hint="eastAsia" w:ascii="微软雅黑" w:eastAsia="微软雅黑"/>
          <w:b/>
          <w:sz w:val="24"/>
        </w:rPr>
      </w:pPr>
      <w:r>
        <w:rPr>
          <w:rFonts w:hint="eastAsia" w:ascii="微软雅黑" w:eastAsia="微软雅黑"/>
          <w:b/>
          <w:color w:val="333333"/>
          <w:sz w:val="24"/>
        </w:rPr>
        <w:t>【政策内容】</w:t>
      </w:r>
    </w:p>
    <w:p>
      <w:pPr>
        <w:pStyle w:val="8"/>
        <w:numPr>
          <w:ilvl w:val="0"/>
          <w:numId w:val="40"/>
        </w:numPr>
        <w:tabs>
          <w:tab w:val="left" w:pos="2481"/>
        </w:tabs>
        <w:spacing w:before="181" w:after="0" w:line="240" w:lineRule="auto"/>
        <w:ind w:left="2480" w:right="0" w:hanging="201"/>
        <w:jc w:val="left"/>
        <w:rPr>
          <w:sz w:val="24"/>
        </w:rPr>
      </w:pPr>
      <w:r>
        <w:rPr>
          <w:color w:val="333333"/>
          <w:sz w:val="24"/>
        </w:rPr>
        <w:t>企业分立的当事各方：分立企业、被分立企业、被分立企业股东。</w:t>
      </w:r>
    </w:p>
    <w:p>
      <w:pPr>
        <w:spacing w:after="0" w:line="240" w:lineRule="auto"/>
        <w:jc w:val="left"/>
        <w:rPr>
          <w:sz w:val="24"/>
        </w:rPr>
        <w:sectPr>
          <w:pgSz w:w="11910" w:h="16840"/>
          <w:pgMar w:top="1540" w:right="0" w:bottom="1380" w:left="0" w:header="965" w:footer="1182" w:gutter="0"/>
          <w:cols w:space="720" w:num="1"/>
        </w:sectPr>
      </w:pPr>
    </w:p>
    <w:p>
      <w:pPr>
        <w:pStyle w:val="3"/>
        <w:spacing w:before="11"/>
        <w:ind w:left="0"/>
        <w:rPr>
          <w:rFonts w:ascii="微软雅黑"/>
          <w:sz w:val="10"/>
        </w:rPr>
      </w:pPr>
    </w:p>
    <w:p>
      <w:pPr>
        <w:pStyle w:val="8"/>
        <w:numPr>
          <w:ilvl w:val="0"/>
          <w:numId w:val="40"/>
        </w:numPr>
        <w:tabs>
          <w:tab w:val="left" w:pos="2481"/>
        </w:tabs>
        <w:spacing w:before="37" w:after="0" w:line="240" w:lineRule="auto"/>
        <w:ind w:left="2480" w:right="0" w:hanging="201"/>
        <w:jc w:val="left"/>
        <w:rPr>
          <w:sz w:val="24"/>
        </w:rPr>
      </w:pPr>
      <w:r>
        <w:rPr>
          <w:color w:val="333333"/>
          <w:sz w:val="24"/>
        </w:rPr>
        <w:t>企业分立的主导方：被分立企业。</w:t>
      </w:r>
    </w:p>
    <w:p>
      <w:pPr>
        <w:pStyle w:val="8"/>
        <w:numPr>
          <w:ilvl w:val="0"/>
          <w:numId w:val="40"/>
        </w:numPr>
        <w:tabs>
          <w:tab w:val="left" w:pos="2481"/>
        </w:tabs>
        <w:spacing w:before="182" w:after="0" w:line="240" w:lineRule="auto"/>
        <w:ind w:left="2480" w:right="0" w:hanging="201"/>
        <w:jc w:val="left"/>
        <w:rPr>
          <w:sz w:val="24"/>
        </w:rPr>
      </w:pPr>
      <w:r>
        <w:rPr>
          <w:color w:val="333333"/>
          <w:sz w:val="24"/>
        </w:rPr>
        <w:t>处理规定</w:t>
      </w:r>
    </w:p>
    <w:p>
      <w:pPr>
        <w:pStyle w:val="3"/>
        <w:spacing w:before="181"/>
        <w:ind w:left="2280"/>
        <w:rPr>
          <w:rFonts w:hint="eastAsia" w:ascii="微软雅黑" w:eastAsia="微软雅黑"/>
        </w:rPr>
      </w:pPr>
      <w:r>
        <w:rPr>
          <w:rFonts w:hint="eastAsia" w:ascii="微软雅黑" w:eastAsia="微软雅黑"/>
          <w:color w:val="333333"/>
        </w:rPr>
        <w:t>企业分立分为一般性税务处理与特殊性税务处理规定。</w:t>
      </w:r>
    </w:p>
    <w:p>
      <w:pPr>
        <w:pStyle w:val="8"/>
        <w:numPr>
          <w:ilvl w:val="0"/>
          <w:numId w:val="41"/>
        </w:numPr>
        <w:tabs>
          <w:tab w:val="left" w:pos="2901"/>
        </w:tabs>
        <w:spacing w:before="182" w:after="0" w:line="240" w:lineRule="auto"/>
        <w:ind w:left="2900" w:right="0" w:hanging="621"/>
        <w:jc w:val="left"/>
        <w:rPr>
          <w:sz w:val="24"/>
        </w:rPr>
      </w:pPr>
      <w:r>
        <w:rPr>
          <w:color w:val="333333"/>
          <w:sz w:val="24"/>
        </w:rPr>
        <w:t>一般性税务处理规定</w:t>
      </w:r>
    </w:p>
    <w:p>
      <w:pPr>
        <w:pStyle w:val="3"/>
        <w:spacing w:before="181"/>
        <w:ind w:left="2280"/>
        <w:rPr>
          <w:rFonts w:hint="eastAsia" w:ascii="微软雅黑" w:hAnsi="微软雅黑" w:eastAsia="微软雅黑"/>
        </w:rPr>
      </w:pPr>
      <w:r>
        <w:rPr>
          <w:rFonts w:hint="eastAsia" w:ascii="微软雅黑" w:hAnsi="微软雅黑" w:eastAsia="微软雅黑"/>
          <w:color w:val="333333"/>
        </w:rPr>
        <w:t>①被分立企业对分立出去资产应按公允价值确认资产转让所得或损失。</w:t>
      </w:r>
    </w:p>
    <w:p>
      <w:pPr>
        <w:pStyle w:val="3"/>
        <w:spacing w:before="182"/>
        <w:ind w:left="2280"/>
        <w:rPr>
          <w:rFonts w:hint="eastAsia" w:ascii="微软雅黑" w:hAnsi="微软雅黑" w:eastAsia="微软雅黑"/>
        </w:rPr>
      </w:pPr>
      <w:r>
        <w:rPr>
          <w:rFonts w:hint="eastAsia" w:ascii="微软雅黑" w:hAnsi="微软雅黑" w:eastAsia="微软雅黑"/>
          <w:color w:val="333333"/>
        </w:rPr>
        <w:t>②分立企业应按公允价值确认接受资产的计税基础。</w:t>
      </w:r>
    </w:p>
    <w:p>
      <w:pPr>
        <w:pStyle w:val="3"/>
        <w:spacing w:before="182" w:line="338" w:lineRule="auto"/>
        <w:ind w:right="1797" w:firstLine="480"/>
        <w:rPr>
          <w:rFonts w:hint="eastAsia" w:ascii="微软雅黑" w:hAnsi="微软雅黑" w:eastAsia="微软雅黑"/>
        </w:rPr>
      </w:pPr>
      <w:r>
        <w:rPr>
          <w:rFonts w:hint="eastAsia" w:ascii="微软雅黑" w:hAnsi="微软雅黑" w:eastAsia="微软雅黑"/>
          <w:color w:val="333333"/>
          <w:spacing w:val="-9"/>
        </w:rPr>
        <w:t>③被分立企业继续存在时，其股东取得的对价应视同被分立企业分配进行处</w:t>
      </w:r>
      <w:r>
        <w:rPr>
          <w:rFonts w:hint="eastAsia" w:ascii="微软雅黑" w:hAnsi="微软雅黑" w:eastAsia="微软雅黑"/>
          <w:color w:val="333333"/>
        </w:rPr>
        <w:t>理。</w:t>
      </w:r>
    </w:p>
    <w:p>
      <w:pPr>
        <w:pStyle w:val="3"/>
        <w:spacing w:before="0" w:line="338" w:lineRule="auto"/>
        <w:ind w:right="1797" w:firstLine="480"/>
        <w:rPr>
          <w:rFonts w:hint="eastAsia" w:ascii="微软雅黑" w:hAnsi="微软雅黑" w:eastAsia="微软雅黑"/>
        </w:rPr>
      </w:pPr>
      <w:r>
        <w:pict>
          <v:shape id="_x0000_s1060" o:spid="_x0000_s1060" o:spt="136" type="#_x0000_t136" style="position:absolute;left:0pt;margin-left:41.25pt;margin-top:23.5pt;height:132pt;width:528.05pt;mso-position-horizontal-relative:page;rotation:20643840f;z-index:-251621376;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hAnsi="微软雅黑" w:eastAsia="微软雅黑"/>
          <w:color w:val="333333"/>
          <w:spacing w:val="-8"/>
        </w:rPr>
        <w:t>④被分立企业不再继续存在时，被分立企业及其股东都应按清算进行所得税</w:t>
      </w:r>
      <w:r>
        <w:rPr>
          <w:rFonts w:hint="eastAsia" w:ascii="微软雅黑" w:hAnsi="微软雅黑" w:eastAsia="微软雅黑"/>
          <w:color w:val="333333"/>
        </w:rPr>
        <w:t>处理。</w:t>
      </w:r>
    </w:p>
    <w:p>
      <w:pPr>
        <w:pStyle w:val="3"/>
        <w:ind w:left="2280"/>
        <w:rPr>
          <w:rFonts w:hint="eastAsia" w:ascii="微软雅黑" w:hAnsi="微软雅黑" w:eastAsia="微软雅黑"/>
        </w:rPr>
      </w:pPr>
      <w:r>
        <w:rPr>
          <w:rFonts w:hint="eastAsia" w:ascii="微软雅黑" w:hAnsi="微软雅黑" w:eastAsia="微软雅黑"/>
          <w:color w:val="333333"/>
        </w:rPr>
        <w:t>⑤企业分立相关企业的亏损不得相互结转弥补。</w:t>
      </w:r>
    </w:p>
    <w:p>
      <w:pPr>
        <w:pStyle w:val="8"/>
        <w:numPr>
          <w:ilvl w:val="0"/>
          <w:numId w:val="41"/>
        </w:numPr>
        <w:tabs>
          <w:tab w:val="left" w:pos="2901"/>
        </w:tabs>
        <w:spacing w:before="181" w:after="0" w:line="240" w:lineRule="auto"/>
        <w:ind w:left="2900" w:right="0" w:hanging="621"/>
        <w:jc w:val="left"/>
        <w:rPr>
          <w:sz w:val="24"/>
        </w:rPr>
      </w:pPr>
      <w:r>
        <w:rPr>
          <w:color w:val="333333"/>
          <w:sz w:val="24"/>
        </w:rPr>
        <w:t>特殊性税务处理规定</w:t>
      </w:r>
    </w:p>
    <w:p>
      <w:pPr>
        <w:pStyle w:val="3"/>
        <w:spacing w:before="182" w:line="338" w:lineRule="auto"/>
        <w:ind w:right="1797" w:firstLine="480"/>
        <w:rPr>
          <w:rFonts w:hint="eastAsia" w:ascii="微软雅黑" w:hAnsi="微软雅黑" w:eastAsia="微软雅黑"/>
        </w:rPr>
      </w:pPr>
      <w:r>
        <w:rPr>
          <w:rFonts w:hint="eastAsia" w:ascii="微软雅黑" w:hAnsi="微软雅黑" w:eastAsia="微软雅黑"/>
          <w:color w:val="333333"/>
          <w:spacing w:val="-6"/>
        </w:rPr>
        <w:t>①分立企业接受被分立企业资产和负债的计税基础，以被分立企业的原有计</w:t>
      </w:r>
      <w:r>
        <w:rPr>
          <w:rFonts w:hint="eastAsia" w:ascii="微软雅黑" w:hAnsi="微软雅黑" w:eastAsia="微软雅黑"/>
          <w:color w:val="333333"/>
        </w:rPr>
        <w:t>税基础确定。</w:t>
      </w:r>
    </w:p>
    <w:p>
      <w:pPr>
        <w:pStyle w:val="3"/>
        <w:spacing w:before="0"/>
        <w:ind w:left="2280"/>
        <w:rPr>
          <w:rFonts w:hint="eastAsia" w:ascii="微软雅黑" w:hAnsi="微软雅黑" w:eastAsia="微软雅黑"/>
        </w:rPr>
      </w:pPr>
      <w:r>
        <w:rPr>
          <w:rFonts w:hint="eastAsia" w:ascii="微软雅黑" w:hAnsi="微软雅黑" w:eastAsia="微软雅黑"/>
          <w:color w:val="333333"/>
        </w:rPr>
        <w:t>②被分立企业已分立出去资产相应的所得税事项由分立企业承继。</w:t>
      </w:r>
    </w:p>
    <w:p>
      <w:pPr>
        <w:pStyle w:val="3"/>
        <w:spacing w:before="182" w:line="338" w:lineRule="auto"/>
        <w:ind w:right="1797" w:firstLine="480"/>
        <w:rPr>
          <w:rFonts w:hint="eastAsia" w:ascii="微软雅黑" w:hAnsi="微软雅黑" w:eastAsia="微软雅黑"/>
        </w:rPr>
      </w:pPr>
      <w:r>
        <w:rPr>
          <w:rFonts w:hint="eastAsia" w:ascii="微软雅黑" w:hAnsi="微软雅黑" w:eastAsia="微软雅黑"/>
          <w:color w:val="333333"/>
        </w:rPr>
        <w:t>③被分立企业未超过法定弥补期限的亏损额可按分立资产占全部资产的比例进行分配，由分立企业继续弥补。</w:t>
      </w:r>
    </w:p>
    <w:p>
      <w:pPr>
        <w:pStyle w:val="3"/>
        <w:spacing w:before="0" w:line="338" w:lineRule="auto"/>
        <w:ind w:left="2280" w:right="1719"/>
        <w:rPr>
          <w:rFonts w:hint="eastAsia" w:ascii="微软雅黑" w:hAnsi="微软雅黑" w:eastAsia="微软雅黑"/>
        </w:rPr>
      </w:pPr>
      <w:r>
        <w:rPr>
          <w:rFonts w:hint="eastAsia" w:ascii="微软雅黑" w:hAnsi="微软雅黑" w:eastAsia="微软雅黑"/>
          <w:color w:val="333333"/>
        </w:rPr>
        <w:t xml:space="preserve">④被分立企业的股东取得分立企业的股权（以下简称“新股”）：           </w:t>
      </w:r>
      <w:r>
        <w:rPr>
          <w:rFonts w:hint="eastAsia" w:ascii="微软雅黑" w:hAnsi="微软雅黑" w:eastAsia="微软雅黑"/>
          <w:color w:val="333333"/>
          <w:spacing w:val="-1"/>
        </w:rPr>
        <w:t>A.如需部分或全部放弃原持有的被分立企业的股权</w:t>
      </w:r>
      <w:r>
        <w:rPr>
          <w:rFonts w:hint="eastAsia" w:ascii="微软雅黑" w:hAnsi="微软雅黑" w:eastAsia="微软雅黑"/>
          <w:color w:val="333333"/>
        </w:rPr>
        <w:t>（以下简称“旧股”），</w:t>
      </w:r>
    </w:p>
    <w:p>
      <w:pPr>
        <w:pStyle w:val="3"/>
        <w:spacing w:line="338" w:lineRule="auto"/>
        <w:ind w:left="2280" w:right="1793" w:hanging="480"/>
        <w:rPr>
          <w:rFonts w:hint="eastAsia" w:ascii="微软雅黑" w:hAnsi="微软雅黑" w:eastAsia="微软雅黑"/>
        </w:rPr>
      </w:pPr>
      <w:r>
        <w:rPr>
          <w:rFonts w:hint="eastAsia" w:ascii="微软雅黑" w:hAnsi="微软雅黑" w:eastAsia="微软雅黑"/>
          <w:color w:val="333333"/>
        </w:rPr>
        <w:t xml:space="preserve">“新股”的计税基础应以放弃“旧股”的计税基础确定。                              </w:t>
      </w:r>
      <w:r>
        <w:rPr>
          <w:rFonts w:hint="eastAsia" w:ascii="微软雅黑" w:hAnsi="微软雅黑" w:eastAsia="微软雅黑"/>
          <w:color w:val="333333"/>
          <w:spacing w:val="-1"/>
        </w:rPr>
        <w:t>B</w:t>
      </w:r>
      <w:r>
        <w:rPr>
          <w:rFonts w:hint="eastAsia" w:ascii="微软雅黑" w:hAnsi="微软雅黑" w:eastAsia="微软雅黑"/>
          <w:color w:val="333333"/>
          <w:spacing w:val="-8"/>
        </w:rPr>
        <w:t>.如不需放弃“旧股”，则其取得“新股”的计税基础可从以下两种方法中</w:t>
      </w:r>
    </w:p>
    <w:p>
      <w:pPr>
        <w:pStyle w:val="3"/>
        <w:spacing w:before="0"/>
        <w:rPr>
          <w:rFonts w:hint="eastAsia" w:ascii="微软雅黑" w:hAnsi="微软雅黑" w:eastAsia="微软雅黑"/>
        </w:rPr>
      </w:pPr>
      <w:r>
        <w:rPr>
          <w:rFonts w:hint="eastAsia" w:ascii="微软雅黑" w:hAnsi="微软雅黑" w:eastAsia="微软雅黑"/>
          <w:color w:val="333333"/>
          <w:spacing w:val="-11"/>
        </w:rPr>
        <w:t>选择确定：直接将“新股”的计税基础确定为零；或者以被分立企业分立出去的</w:t>
      </w:r>
    </w:p>
    <w:p>
      <w:pPr>
        <w:spacing w:after="0"/>
        <w:rPr>
          <w:rFonts w:hint="eastAsia" w:ascii="微软雅黑" w:hAnsi="微软雅黑" w:eastAsia="微软雅黑"/>
        </w:rPr>
        <w:sectPr>
          <w:pgSz w:w="11910" w:h="16840"/>
          <w:pgMar w:top="1540" w:right="0" w:bottom="1380" w:left="0" w:header="965" w:footer="1182" w:gutter="0"/>
          <w:cols w:space="720" w:num="1"/>
        </w:sectPr>
      </w:pPr>
    </w:p>
    <w:p>
      <w:pPr>
        <w:pStyle w:val="3"/>
        <w:spacing w:before="11"/>
        <w:ind w:left="0"/>
        <w:rPr>
          <w:rFonts w:ascii="微软雅黑"/>
          <w:sz w:val="10"/>
        </w:rPr>
      </w:pPr>
    </w:p>
    <w:p>
      <w:pPr>
        <w:pStyle w:val="3"/>
        <w:spacing w:before="37" w:line="338" w:lineRule="auto"/>
        <w:ind w:right="1797"/>
        <w:rPr>
          <w:rFonts w:hint="eastAsia" w:ascii="微软雅黑" w:hAnsi="微软雅黑" w:eastAsia="微软雅黑"/>
        </w:rPr>
      </w:pPr>
      <w:r>
        <w:rPr>
          <w:rFonts w:hint="eastAsia" w:ascii="微软雅黑" w:hAnsi="微软雅黑" w:eastAsia="微软雅黑"/>
          <w:color w:val="333333"/>
          <w:spacing w:val="-6"/>
        </w:rPr>
        <w:t>净资产占被分立企业全部净资产的比例先调减原持有的“旧股”的计税基础，再</w:t>
      </w:r>
      <w:r>
        <w:rPr>
          <w:rFonts w:hint="eastAsia" w:ascii="微软雅黑" w:hAnsi="微软雅黑" w:eastAsia="微软雅黑"/>
          <w:color w:val="333333"/>
        </w:rPr>
        <w:t>将调减的计税基础平均分配到“新股”上。</w:t>
      </w:r>
    </w:p>
    <w:p>
      <w:pPr>
        <w:pStyle w:val="3"/>
        <w:spacing w:before="0"/>
        <w:ind w:left="2280"/>
        <w:rPr>
          <w:rFonts w:hint="eastAsia" w:ascii="微软雅黑" w:hAnsi="微软雅黑" w:eastAsia="微软雅黑"/>
        </w:rPr>
      </w:pPr>
      <w:r>
        <w:rPr>
          <w:rFonts w:hint="eastAsia" w:ascii="微软雅黑" w:hAnsi="微软雅黑" w:eastAsia="微软雅黑"/>
          <w:color w:val="333333"/>
        </w:rPr>
        <w:t>⑤股权支付暂不确认有关资产的交易所得或损失。</w:t>
      </w:r>
    </w:p>
    <w:p>
      <w:pPr>
        <w:pStyle w:val="3"/>
        <w:spacing w:before="182" w:line="338" w:lineRule="auto"/>
        <w:ind w:right="1797" w:firstLine="480"/>
        <w:rPr>
          <w:rFonts w:hint="eastAsia" w:ascii="微软雅黑" w:hAnsi="微软雅黑" w:eastAsia="微软雅黑"/>
        </w:rPr>
      </w:pPr>
      <w:r>
        <w:rPr>
          <w:rFonts w:hint="eastAsia" w:ascii="微软雅黑" w:hAnsi="微软雅黑" w:eastAsia="微软雅黑"/>
          <w:color w:val="333333"/>
          <w:spacing w:val="-5"/>
        </w:rPr>
        <w:t>⑥非股权支付额仍应在交易当期确认相应的资产转让所得或损失，并调整相</w:t>
      </w:r>
      <w:r>
        <w:rPr>
          <w:rFonts w:hint="eastAsia" w:ascii="微软雅黑" w:hAnsi="微软雅黑" w:eastAsia="微软雅黑"/>
          <w:color w:val="333333"/>
        </w:rPr>
        <w:t>应资产的计税基础。</w:t>
      </w:r>
    </w:p>
    <w:p>
      <w:pPr>
        <w:spacing w:before="0"/>
        <w:ind w:left="2280" w:right="0" w:firstLine="0"/>
        <w:jc w:val="left"/>
        <w:rPr>
          <w:rFonts w:hint="eastAsia" w:ascii="微软雅黑" w:eastAsia="微软雅黑"/>
          <w:b/>
          <w:sz w:val="24"/>
        </w:rPr>
      </w:pPr>
      <w:r>
        <w:rPr>
          <w:rFonts w:hint="eastAsia" w:ascii="微软雅黑" w:eastAsia="微软雅黑"/>
          <w:b/>
          <w:color w:val="333333"/>
          <w:sz w:val="24"/>
        </w:rPr>
        <w:t>【适用条件】</w:t>
      </w:r>
    </w:p>
    <w:p>
      <w:pPr>
        <w:pStyle w:val="3"/>
        <w:spacing w:before="182"/>
        <w:ind w:left="2280"/>
        <w:rPr>
          <w:rFonts w:hint="eastAsia" w:ascii="微软雅黑" w:eastAsia="微软雅黑"/>
        </w:rPr>
      </w:pPr>
      <w:r>
        <w:rPr>
          <w:rFonts w:hint="eastAsia" w:ascii="微软雅黑" w:eastAsia="微软雅黑"/>
          <w:color w:val="333333"/>
        </w:rPr>
        <w:t>企业分立适用特殊性处税务处理的条件包括：</w:t>
      </w:r>
    </w:p>
    <w:p>
      <w:pPr>
        <w:pStyle w:val="8"/>
        <w:numPr>
          <w:ilvl w:val="0"/>
          <w:numId w:val="42"/>
        </w:numPr>
        <w:tabs>
          <w:tab w:val="left" w:pos="2481"/>
        </w:tabs>
        <w:spacing w:before="182" w:after="0" w:line="240" w:lineRule="auto"/>
        <w:ind w:left="2480" w:right="0" w:hanging="201"/>
        <w:jc w:val="left"/>
        <w:rPr>
          <w:sz w:val="24"/>
        </w:rPr>
      </w:pPr>
      <w:r>
        <w:rPr>
          <w:color w:val="333333"/>
          <w:sz w:val="24"/>
        </w:rPr>
        <w:t>具有合理的商业目的，且不以减少、免除或者推迟缴纳税款为主要目的。</w:t>
      </w:r>
    </w:p>
    <w:p>
      <w:pPr>
        <w:pStyle w:val="8"/>
        <w:numPr>
          <w:ilvl w:val="0"/>
          <w:numId w:val="42"/>
        </w:numPr>
        <w:tabs>
          <w:tab w:val="left" w:pos="2481"/>
        </w:tabs>
        <w:spacing w:before="181" w:after="0" w:line="240" w:lineRule="auto"/>
        <w:ind w:left="2480" w:right="0" w:hanging="201"/>
        <w:jc w:val="left"/>
        <w:rPr>
          <w:sz w:val="24"/>
        </w:rPr>
      </w:pPr>
      <w:r>
        <w:pict>
          <v:shape id="_x0000_s1061" o:spid="_x0000_s1061" o:spt="136" type="#_x0000_t136" style="position:absolute;left:0pt;margin-left:41.25pt;margin-top:32.55pt;height:132pt;width:528.05pt;mso-position-horizontal-relative:page;rotation:20643840f;z-index:-251620352;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color w:val="333333"/>
          <w:spacing w:val="-2"/>
          <w:sz w:val="24"/>
        </w:rPr>
        <w:t xml:space="preserve">企业重组后的连续 </w:t>
      </w:r>
      <w:r>
        <w:rPr>
          <w:color w:val="333333"/>
          <w:sz w:val="24"/>
        </w:rPr>
        <w:t>12</w:t>
      </w:r>
      <w:r>
        <w:rPr>
          <w:color w:val="333333"/>
          <w:spacing w:val="-3"/>
          <w:sz w:val="24"/>
        </w:rPr>
        <w:t xml:space="preserve"> 个月内不改变重组资产原来的实质性经营活动。</w:t>
      </w:r>
    </w:p>
    <w:p>
      <w:pPr>
        <w:pStyle w:val="8"/>
        <w:numPr>
          <w:ilvl w:val="0"/>
          <w:numId w:val="42"/>
        </w:numPr>
        <w:tabs>
          <w:tab w:val="left" w:pos="2484"/>
        </w:tabs>
        <w:spacing w:before="182" w:after="0" w:line="338" w:lineRule="auto"/>
        <w:ind w:left="1800" w:right="1795" w:firstLine="480"/>
        <w:jc w:val="both"/>
        <w:rPr>
          <w:sz w:val="24"/>
        </w:rPr>
      </w:pPr>
      <w:r>
        <w:rPr>
          <w:color w:val="333333"/>
          <w:spacing w:val="3"/>
          <w:sz w:val="24"/>
        </w:rPr>
        <w:t>被分立企业股东在该企业分立发生时取得的股权支付金额不低于其交易</w:t>
      </w:r>
      <w:r>
        <w:rPr>
          <w:color w:val="333333"/>
          <w:spacing w:val="8"/>
          <w:sz w:val="24"/>
        </w:rPr>
        <w:t xml:space="preserve">支付总额的 </w:t>
      </w:r>
      <w:r>
        <w:rPr>
          <w:color w:val="333333"/>
          <w:sz w:val="24"/>
        </w:rPr>
        <w:t>85%。被分立企业所有股东按原持股比例取得分立企业的股权，分立企业和被分立企业均不改变原来的实质经营活动</w:t>
      </w:r>
    </w:p>
    <w:p>
      <w:pPr>
        <w:pStyle w:val="8"/>
        <w:numPr>
          <w:ilvl w:val="0"/>
          <w:numId w:val="42"/>
        </w:numPr>
        <w:tabs>
          <w:tab w:val="left" w:pos="2481"/>
        </w:tabs>
        <w:spacing w:before="1" w:after="0" w:line="240" w:lineRule="auto"/>
        <w:ind w:left="2480" w:right="0" w:hanging="201"/>
        <w:jc w:val="left"/>
        <w:rPr>
          <w:sz w:val="24"/>
        </w:rPr>
      </w:pPr>
      <w:r>
        <w:rPr>
          <w:color w:val="333333"/>
          <w:spacing w:val="-3"/>
          <w:sz w:val="24"/>
        </w:rPr>
        <w:t>企业重组中取得股权支付的原主要股东</w:t>
      </w:r>
      <w:r>
        <w:rPr>
          <w:color w:val="333333"/>
          <w:sz w:val="24"/>
        </w:rPr>
        <w:t>（指原持有转让企业或被收购企业</w:t>
      </w:r>
    </w:p>
    <w:p>
      <w:pPr>
        <w:pStyle w:val="3"/>
        <w:spacing w:before="181"/>
        <w:rPr>
          <w:rFonts w:hint="eastAsia" w:ascii="微软雅黑" w:eastAsia="微软雅黑"/>
        </w:rPr>
      </w:pPr>
      <w:r>
        <w:rPr>
          <w:rFonts w:hint="eastAsia" w:ascii="微软雅黑" w:eastAsia="微软雅黑"/>
          <w:color w:val="333333"/>
        </w:rPr>
        <w:t>20%以上股权的股东），在重组后连续 12 个月内，不得转让所取得的股权。</w:t>
      </w:r>
    </w:p>
    <w:p>
      <w:pPr>
        <w:spacing w:before="182"/>
        <w:ind w:left="2280" w:right="0" w:firstLine="0"/>
        <w:jc w:val="left"/>
        <w:rPr>
          <w:rFonts w:hint="eastAsia" w:ascii="微软雅黑" w:eastAsia="微软雅黑"/>
          <w:b/>
          <w:sz w:val="24"/>
        </w:rPr>
      </w:pPr>
      <w:r>
        <w:rPr>
          <w:rFonts w:hint="eastAsia" w:ascii="微软雅黑" w:eastAsia="微软雅黑"/>
          <w:b/>
          <w:color w:val="333333"/>
          <w:sz w:val="24"/>
        </w:rPr>
        <w:t>【备案资料】</w:t>
      </w:r>
    </w:p>
    <w:p>
      <w:pPr>
        <w:pStyle w:val="3"/>
        <w:spacing w:before="182"/>
        <w:ind w:left="2280"/>
        <w:rPr>
          <w:rFonts w:hint="eastAsia" w:ascii="微软雅黑" w:eastAsia="微软雅黑"/>
        </w:rPr>
      </w:pPr>
      <w:r>
        <w:rPr>
          <w:rFonts w:hint="eastAsia" w:ascii="微软雅黑" w:eastAsia="微软雅黑"/>
          <w:color w:val="333333"/>
        </w:rPr>
        <w:t>1.适用一般性税务处理的相关资料</w:t>
      </w:r>
    </w:p>
    <w:p>
      <w:pPr>
        <w:pStyle w:val="3"/>
        <w:spacing w:before="181" w:line="338" w:lineRule="auto"/>
        <w:ind w:right="1797" w:firstLine="480"/>
        <w:jc w:val="both"/>
        <w:rPr>
          <w:rFonts w:hint="eastAsia" w:ascii="微软雅黑" w:eastAsia="微软雅黑"/>
        </w:rPr>
      </w:pPr>
      <w:r>
        <w:rPr>
          <w:rFonts w:hint="eastAsia" w:ascii="微软雅黑" w:eastAsia="微软雅黑"/>
          <w:color w:val="333333"/>
          <w:spacing w:val="-6"/>
        </w:rPr>
        <w:t>企业分立业务适用一般性税务处理情形的，被分立企业不再继续存在，应按</w:t>
      </w:r>
      <w:r>
        <w:rPr>
          <w:rFonts w:hint="eastAsia" w:ascii="微软雅黑" w:eastAsia="微软雅黑"/>
          <w:color w:val="333333"/>
          <w:spacing w:val="-9"/>
        </w:rPr>
        <w:t>规定进行清算。被分立企业在报送《企业清算所得纳税申报表》时，应附送以下</w:t>
      </w:r>
      <w:r>
        <w:rPr>
          <w:rFonts w:hint="eastAsia" w:ascii="微软雅黑" w:eastAsia="微软雅黑"/>
          <w:color w:val="333333"/>
        </w:rPr>
        <w:t>资料：</w:t>
      </w:r>
    </w:p>
    <w:p>
      <w:pPr>
        <w:pStyle w:val="8"/>
        <w:numPr>
          <w:ilvl w:val="0"/>
          <w:numId w:val="43"/>
        </w:numPr>
        <w:tabs>
          <w:tab w:val="left" w:pos="2901"/>
        </w:tabs>
        <w:spacing w:before="1" w:after="0" w:line="240" w:lineRule="auto"/>
        <w:ind w:left="2900" w:right="0" w:hanging="621"/>
        <w:jc w:val="left"/>
        <w:rPr>
          <w:sz w:val="24"/>
        </w:rPr>
      </w:pPr>
      <w:r>
        <w:rPr>
          <w:color w:val="333333"/>
          <w:sz w:val="24"/>
        </w:rPr>
        <w:t>企业分立的工商部门或其他政府部门的批准文件；</w:t>
      </w:r>
    </w:p>
    <w:p>
      <w:pPr>
        <w:pStyle w:val="8"/>
        <w:numPr>
          <w:ilvl w:val="0"/>
          <w:numId w:val="43"/>
        </w:numPr>
        <w:tabs>
          <w:tab w:val="left" w:pos="2901"/>
        </w:tabs>
        <w:spacing w:before="181" w:after="0" w:line="240" w:lineRule="auto"/>
        <w:ind w:left="2900" w:right="0" w:hanging="621"/>
        <w:jc w:val="left"/>
        <w:rPr>
          <w:sz w:val="24"/>
        </w:rPr>
      </w:pPr>
      <w:r>
        <w:rPr>
          <w:color w:val="333333"/>
          <w:sz w:val="24"/>
        </w:rPr>
        <w:t>被分立企业全部资产的计税基础以及评估机构出具的资产评估报告；</w:t>
      </w:r>
    </w:p>
    <w:p>
      <w:pPr>
        <w:pStyle w:val="8"/>
        <w:numPr>
          <w:ilvl w:val="0"/>
          <w:numId w:val="43"/>
        </w:numPr>
        <w:tabs>
          <w:tab w:val="left" w:pos="2901"/>
        </w:tabs>
        <w:spacing w:before="182" w:after="0" w:line="240" w:lineRule="auto"/>
        <w:ind w:left="2900" w:right="0" w:hanging="621"/>
        <w:jc w:val="left"/>
        <w:rPr>
          <w:sz w:val="24"/>
        </w:rPr>
      </w:pPr>
      <w:r>
        <w:rPr>
          <w:color w:val="333333"/>
          <w:sz w:val="24"/>
        </w:rPr>
        <w:t>企业债务处理或归属情况说明；</w:t>
      </w:r>
    </w:p>
    <w:p>
      <w:pPr>
        <w:spacing w:after="0" w:line="240" w:lineRule="auto"/>
        <w:jc w:val="left"/>
        <w:rPr>
          <w:sz w:val="24"/>
        </w:rPr>
        <w:sectPr>
          <w:footerReference r:id="rId9" w:type="default"/>
          <w:pgSz w:w="11910" w:h="16840"/>
          <w:pgMar w:top="1540" w:right="0" w:bottom="1380" w:left="0" w:header="965" w:footer="1182" w:gutter="0"/>
          <w:pgNumType w:start="30"/>
          <w:cols w:space="720" w:num="1"/>
        </w:sectPr>
      </w:pPr>
    </w:p>
    <w:p>
      <w:pPr>
        <w:pStyle w:val="3"/>
        <w:spacing w:before="11"/>
        <w:ind w:left="0"/>
        <w:rPr>
          <w:rFonts w:ascii="微软雅黑"/>
          <w:sz w:val="10"/>
        </w:rPr>
      </w:pPr>
    </w:p>
    <w:p>
      <w:pPr>
        <w:pStyle w:val="8"/>
        <w:numPr>
          <w:ilvl w:val="0"/>
          <w:numId w:val="43"/>
        </w:numPr>
        <w:tabs>
          <w:tab w:val="left" w:pos="2901"/>
        </w:tabs>
        <w:spacing w:before="37" w:after="0" w:line="338" w:lineRule="auto"/>
        <w:ind w:left="2280" w:right="4684" w:firstLine="0"/>
        <w:jc w:val="left"/>
        <w:rPr>
          <w:sz w:val="24"/>
        </w:rPr>
      </w:pPr>
      <w:r>
        <w:rPr>
          <w:color w:val="333333"/>
          <w:spacing w:val="-1"/>
          <w:sz w:val="24"/>
        </w:rPr>
        <w:t>主管税务机关要求提供的其他资料证明。</w:t>
      </w:r>
      <w:r>
        <w:rPr>
          <w:color w:val="333333"/>
          <w:sz w:val="24"/>
        </w:rPr>
        <w:t>2.适用特殊性税务处理应报送的资料</w:t>
      </w:r>
    </w:p>
    <w:p>
      <w:pPr>
        <w:pStyle w:val="8"/>
        <w:numPr>
          <w:ilvl w:val="0"/>
          <w:numId w:val="44"/>
        </w:numPr>
        <w:tabs>
          <w:tab w:val="left" w:pos="2901"/>
        </w:tabs>
        <w:spacing w:before="0" w:after="0" w:line="240" w:lineRule="auto"/>
        <w:ind w:left="2900" w:right="0" w:hanging="621"/>
        <w:jc w:val="left"/>
        <w:rPr>
          <w:sz w:val="24"/>
        </w:rPr>
      </w:pPr>
      <w:r>
        <w:rPr>
          <w:color w:val="333333"/>
          <w:sz w:val="24"/>
        </w:rPr>
        <w:t>基本资料</w:t>
      </w:r>
    </w:p>
    <w:p>
      <w:pPr>
        <w:pStyle w:val="3"/>
        <w:spacing w:before="182" w:line="338" w:lineRule="auto"/>
        <w:ind w:right="1797" w:firstLine="480"/>
        <w:jc w:val="both"/>
        <w:rPr>
          <w:rFonts w:hint="eastAsia" w:ascii="微软雅黑" w:hAnsi="微软雅黑" w:eastAsia="微软雅黑"/>
        </w:rPr>
      </w:pPr>
      <w:r>
        <w:rPr>
          <w:rFonts w:hint="eastAsia" w:ascii="微软雅黑" w:hAnsi="微软雅黑" w:eastAsia="微软雅黑"/>
          <w:color w:val="333333"/>
          <w:spacing w:val="-6"/>
        </w:rPr>
        <w:t>①重组各方应在该重组业务完成当年，办理企业所得税年度申报时，分别向</w:t>
      </w:r>
      <w:r>
        <w:rPr>
          <w:rFonts w:hint="eastAsia" w:ascii="微软雅黑" w:hAnsi="微软雅黑" w:eastAsia="微软雅黑"/>
          <w:color w:val="333333"/>
          <w:spacing w:val="-8"/>
        </w:rPr>
        <w:t>各自主管税务机关报送《企业重组所得税特殊性税务处理报告表及附表》和其他</w:t>
      </w:r>
      <w:r>
        <w:rPr>
          <w:rFonts w:hint="eastAsia" w:ascii="微软雅黑" w:hAnsi="微软雅黑" w:eastAsia="微软雅黑"/>
          <w:color w:val="333333"/>
          <w:spacing w:val="-10"/>
        </w:rPr>
        <w:t>申报资料。重组主导方申报后，其他当事方向其主管税务机关办理纳税申报。申</w:t>
      </w:r>
      <w:r>
        <w:rPr>
          <w:rFonts w:hint="eastAsia" w:ascii="微软雅黑" w:hAnsi="微软雅黑" w:eastAsia="微软雅黑"/>
          <w:color w:val="333333"/>
          <w:spacing w:val="-6"/>
        </w:rPr>
        <w:t>报时还应附送重组主导方经主管税务机关受理的《企业重组所得税特殊性税务处</w:t>
      </w:r>
      <w:r>
        <w:rPr>
          <w:rFonts w:hint="eastAsia" w:ascii="微软雅黑" w:hAnsi="微软雅黑" w:eastAsia="微软雅黑"/>
          <w:color w:val="333333"/>
        </w:rPr>
        <w:t>理报告表及附表》（复印件）。</w:t>
      </w:r>
    </w:p>
    <w:p>
      <w:pPr>
        <w:pStyle w:val="3"/>
        <w:spacing w:line="338" w:lineRule="auto"/>
        <w:ind w:right="1797" w:firstLine="480"/>
        <w:jc w:val="both"/>
        <w:rPr>
          <w:rFonts w:hint="eastAsia" w:ascii="微软雅黑" w:hAnsi="微软雅黑" w:eastAsia="微软雅黑"/>
        </w:rPr>
      </w:pPr>
      <w:r>
        <w:pict>
          <v:shape id="_x0000_s1062" o:spid="_x0000_s1062" o:spt="136" type="#_x0000_t136" style="position:absolute;left:0pt;margin-left:41.25pt;margin-top:23.55pt;height:132pt;width:528.05pt;mso-position-horizontal-relative:page;rotation:20643840f;z-index:-251619328;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hAnsi="微软雅黑" w:eastAsia="微软雅黑"/>
          <w:color w:val="333333"/>
          <w:spacing w:val="-5"/>
        </w:rPr>
        <w:t>②当事各方应在完成重组业务后的下一年度的企业所得税年度申报时，向主</w:t>
      </w:r>
      <w:r>
        <w:rPr>
          <w:rFonts w:hint="eastAsia" w:ascii="微软雅黑" w:hAnsi="微软雅黑" w:eastAsia="微软雅黑"/>
          <w:color w:val="333333"/>
          <w:spacing w:val="-2"/>
        </w:rPr>
        <w:t xml:space="preserve">管税务机关提交书面情况说明，以证明企业在重组后的连续 </w:t>
      </w:r>
      <w:r>
        <w:rPr>
          <w:rFonts w:hint="eastAsia" w:ascii="微软雅黑" w:hAnsi="微软雅黑" w:eastAsia="微软雅黑"/>
          <w:color w:val="333333"/>
        </w:rPr>
        <w:t>12</w:t>
      </w:r>
      <w:r>
        <w:rPr>
          <w:rFonts w:hint="eastAsia" w:ascii="微软雅黑" w:hAnsi="微软雅黑" w:eastAsia="微软雅黑"/>
          <w:color w:val="333333"/>
          <w:spacing w:val="-7"/>
        </w:rPr>
        <w:t xml:space="preserve"> 个月内，有关符</w:t>
      </w:r>
      <w:r>
        <w:rPr>
          <w:rFonts w:hint="eastAsia" w:ascii="微软雅黑" w:hAnsi="微软雅黑" w:eastAsia="微软雅黑"/>
          <w:color w:val="333333"/>
        </w:rPr>
        <w:t>合特殊性税务处理的条件未发生改变。</w:t>
      </w:r>
    </w:p>
    <w:p>
      <w:pPr>
        <w:pStyle w:val="3"/>
        <w:spacing w:line="338" w:lineRule="auto"/>
        <w:ind w:right="1797" w:firstLine="480"/>
        <w:jc w:val="both"/>
        <w:rPr>
          <w:rFonts w:hint="eastAsia" w:ascii="微软雅黑" w:hAnsi="微软雅黑" w:eastAsia="微软雅黑"/>
        </w:rPr>
      </w:pPr>
      <w:r>
        <w:rPr>
          <w:rFonts w:hint="eastAsia" w:ascii="微软雅黑" w:hAnsi="微软雅黑" w:eastAsia="微软雅黑"/>
          <w:color w:val="333333"/>
          <w:spacing w:val="-6"/>
        </w:rPr>
        <w:t>③企业重组业务适用特殊性税务处理的，申报时，当事各方还应向主管税务</w:t>
      </w:r>
      <w:r>
        <w:rPr>
          <w:rFonts w:hint="eastAsia" w:ascii="微软雅黑" w:hAnsi="微软雅黑" w:eastAsia="微软雅黑"/>
          <w:color w:val="333333"/>
          <w:spacing w:val="-2"/>
        </w:rPr>
        <w:t xml:space="preserve">机关提交重组前连续 </w:t>
      </w:r>
      <w:r>
        <w:rPr>
          <w:rFonts w:hint="eastAsia" w:ascii="微软雅黑" w:hAnsi="微软雅黑" w:eastAsia="微软雅黑"/>
          <w:color w:val="333333"/>
        </w:rPr>
        <w:t>12</w:t>
      </w:r>
      <w:r>
        <w:rPr>
          <w:rFonts w:hint="eastAsia" w:ascii="微软雅黑" w:hAnsi="微软雅黑" w:eastAsia="微软雅黑"/>
          <w:color w:val="333333"/>
          <w:spacing w:val="-5"/>
        </w:rPr>
        <w:t xml:space="preserve"> 个月内有无与该重组相关的其他股权、资产交易情况的</w:t>
      </w:r>
      <w:r>
        <w:rPr>
          <w:rFonts w:hint="eastAsia" w:ascii="微软雅黑" w:hAnsi="微软雅黑" w:eastAsia="微软雅黑"/>
          <w:color w:val="333333"/>
          <w:spacing w:val="-10"/>
        </w:rPr>
        <w:t>说明，并说明这些交易与该重组是否构成分步交易，是否作为一项企业重组业务</w:t>
      </w:r>
      <w:r>
        <w:rPr>
          <w:rFonts w:hint="eastAsia" w:ascii="微软雅黑" w:hAnsi="微软雅黑" w:eastAsia="微软雅黑"/>
          <w:color w:val="333333"/>
        </w:rPr>
        <w:t>进行处理。</w:t>
      </w:r>
    </w:p>
    <w:p>
      <w:pPr>
        <w:pStyle w:val="8"/>
        <w:numPr>
          <w:ilvl w:val="0"/>
          <w:numId w:val="44"/>
        </w:numPr>
        <w:tabs>
          <w:tab w:val="left" w:pos="2901"/>
        </w:tabs>
        <w:spacing w:before="1" w:after="0" w:line="240" w:lineRule="auto"/>
        <w:ind w:left="2900" w:right="0" w:hanging="621"/>
        <w:jc w:val="left"/>
        <w:rPr>
          <w:sz w:val="24"/>
        </w:rPr>
      </w:pPr>
      <w:r>
        <w:rPr>
          <w:color w:val="333333"/>
          <w:sz w:val="24"/>
        </w:rPr>
        <w:t>其他申报资料</w:t>
      </w:r>
    </w:p>
    <w:p>
      <w:pPr>
        <w:pStyle w:val="3"/>
        <w:spacing w:before="182" w:line="338" w:lineRule="auto"/>
        <w:ind w:right="1797" w:firstLine="480"/>
        <w:rPr>
          <w:rFonts w:hint="eastAsia" w:ascii="微软雅黑" w:hAnsi="微软雅黑" w:eastAsia="微软雅黑"/>
        </w:rPr>
      </w:pPr>
      <w:r>
        <w:rPr>
          <w:rFonts w:hint="eastAsia" w:ascii="微软雅黑" w:hAnsi="微软雅黑" w:eastAsia="微软雅黑"/>
          <w:color w:val="333333"/>
          <w:spacing w:val="-8"/>
        </w:rPr>
        <w:t>①企业分立的总体情况说明，包括分立方案、基本情况，并逐条说明企业分</w:t>
      </w:r>
      <w:r>
        <w:rPr>
          <w:rFonts w:hint="eastAsia" w:ascii="微软雅黑" w:hAnsi="微软雅黑" w:eastAsia="微软雅黑"/>
          <w:color w:val="333333"/>
        </w:rPr>
        <w:t>立的商业目的；</w:t>
      </w:r>
    </w:p>
    <w:p>
      <w:pPr>
        <w:pStyle w:val="3"/>
        <w:spacing w:before="0"/>
        <w:ind w:left="2280"/>
        <w:rPr>
          <w:rFonts w:hint="eastAsia" w:ascii="微软雅黑" w:hAnsi="微软雅黑" w:eastAsia="微软雅黑"/>
        </w:rPr>
      </w:pPr>
      <w:r>
        <w:rPr>
          <w:rFonts w:hint="eastAsia" w:ascii="微软雅黑" w:hAnsi="微软雅黑" w:eastAsia="微软雅黑"/>
          <w:color w:val="333333"/>
        </w:rPr>
        <w:t>②被分立企业董事会、股东会(股东大会)关于企业分立的决议，需有权部门</w:t>
      </w:r>
    </w:p>
    <w:p>
      <w:pPr>
        <w:pStyle w:val="3"/>
        <w:spacing w:before="182"/>
        <w:rPr>
          <w:rFonts w:hint="eastAsia" w:ascii="微软雅黑" w:eastAsia="微软雅黑"/>
        </w:rPr>
      </w:pPr>
      <w:r>
        <w:rPr>
          <w:rFonts w:hint="eastAsia" w:ascii="微软雅黑" w:eastAsia="微软雅黑"/>
          <w:color w:val="333333"/>
        </w:rPr>
        <w:t>（包括内部和外部）批准的，应提供批准文件；</w:t>
      </w:r>
    </w:p>
    <w:p>
      <w:pPr>
        <w:pStyle w:val="3"/>
        <w:spacing w:before="4" w:line="620" w:lineRule="atLeast"/>
        <w:ind w:right="1797" w:firstLine="480"/>
        <w:rPr>
          <w:rFonts w:hint="eastAsia" w:ascii="微软雅黑" w:hAnsi="微软雅黑" w:eastAsia="微软雅黑"/>
        </w:rPr>
      </w:pPr>
      <w:r>
        <w:rPr>
          <w:rFonts w:hint="eastAsia" w:ascii="微软雅黑" w:hAnsi="微软雅黑" w:eastAsia="微软雅黑"/>
          <w:color w:val="333333"/>
        </w:rPr>
        <w:t>③被分立企业的净资产、各单项资产和负债账面价值和计税基础等相关资料；</w:t>
      </w:r>
    </w:p>
    <w:p>
      <w:pPr>
        <w:spacing w:after="0" w:line="620" w:lineRule="atLeast"/>
        <w:rPr>
          <w:rFonts w:hint="eastAsia" w:ascii="微软雅黑" w:hAnsi="微软雅黑" w:eastAsia="微软雅黑"/>
        </w:rPr>
        <w:sectPr>
          <w:pgSz w:w="11910" w:h="16840"/>
          <w:pgMar w:top="1540" w:right="0" w:bottom="1380" w:left="0" w:header="965" w:footer="1182" w:gutter="0"/>
          <w:cols w:space="720" w:num="1"/>
        </w:sectPr>
      </w:pPr>
    </w:p>
    <w:p>
      <w:pPr>
        <w:pStyle w:val="3"/>
        <w:spacing w:before="11"/>
        <w:ind w:left="0"/>
        <w:rPr>
          <w:rFonts w:ascii="微软雅黑"/>
          <w:sz w:val="10"/>
        </w:rPr>
      </w:pPr>
    </w:p>
    <w:p>
      <w:pPr>
        <w:pStyle w:val="3"/>
        <w:spacing w:before="37" w:line="338" w:lineRule="auto"/>
        <w:ind w:right="1797" w:firstLine="480"/>
        <w:rPr>
          <w:rFonts w:hint="eastAsia" w:ascii="微软雅黑" w:hAnsi="微软雅黑" w:eastAsia="微软雅黑"/>
        </w:rPr>
      </w:pPr>
      <w:r>
        <w:rPr>
          <w:rFonts w:hint="eastAsia" w:ascii="微软雅黑" w:hAnsi="微软雅黑" w:eastAsia="微软雅黑"/>
          <w:color w:val="333333"/>
        </w:rPr>
        <w:t>④12 个月内不改变资产原来的实质性经营活动、原主要股东不转让所取得股权的承诺书；</w:t>
      </w:r>
    </w:p>
    <w:p>
      <w:pPr>
        <w:pStyle w:val="3"/>
        <w:spacing w:before="0" w:line="338" w:lineRule="auto"/>
        <w:ind w:right="1797" w:firstLine="480"/>
        <w:rPr>
          <w:rFonts w:hint="eastAsia" w:ascii="微软雅黑" w:hAnsi="微软雅黑" w:eastAsia="微软雅黑"/>
        </w:rPr>
      </w:pPr>
      <w:r>
        <w:rPr>
          <w:rFonts w:hint="eastAsia" w:ascii="微软雅黑" w:hAnsi="微软雅黑" w:eastAsia="微软雅黑"/>
          <w:color w:val="333333"/>
        </w:rPr>
        <w:t>⑤工商管理部门等有权机关认定的分立和被分立企业股东股权比例证明材料；分立后，分立和被分立企业工商营业执照复印件；</w:t>
      </w:r>
    </w:p>
    <w:p>
      <w:pPr>
        <w:pStyle w:val="3"/>
        <w:ind w:left="2280"/>
        <w:rPr>
          <w:rFonts w:hint="eastAsia" w:ascii="微软雅黑" w:hAnsi="微软雅黑" w:eastAsia="微软雅黑"/>
        </w:rPr>
      </w:pPr>
      <w:r>
        <w:rPr>
          <w:rFonts w:hint="eastAsia" w:ascii="微软雅黑" w:hAnsi="微软雅黑" w:eastAsia="微软雅黑"/>
          <w:color w:val="333333"/>
        </w:rPr>
        <w:t>⑥重组当事各方一致选择特殊性税务处理并加盖当事各方公章的证明资料；</w:t>
      </w:r>
    </w:p>
    <w:p>
      <w:pPr>
        <w:pStyle w:val="3"/>
        <w:spacing w:before="181" w:line="338" w:lineRule="auto"/>
        <w:ind w:right="1797" w:firstLine="480"/>
        <w:rPr>
          <w:rFonts w:hint="eastAsia" w:ascii="微软雅黑" w:hAnsi="微软雅黑" w:eastAsia="微软雅黑"/>
        </w:rPr>
      </w:pPr>
      <w:r>
        <w:rPr>
          <w:rFonts w:hint="eastAsia" w:ascii="微软雅黑" w:hAnsi="微软雅黑" w:eastAsia="微软雅黑"/>
          <w:color w:val="333333"/>
          <w:spacing w:val="-9"/>
        </w:rPr>
        <w:t>⑦涉及非货币性资产支付的，应提供非货币性资产评估报告或其他公允价值</w:t>
      </w:r>
      <w:r>
        <w:rPr>
          <w:rFonts w:hint="eastAsia" w:ascii="微软雅黑" w:hAnsi="微软雅黑" w:eastAsia="微软雅黑"/>
          <w:color w:val="333333"/>
        </w:rPr>
        <w:t>证明；</w:t>
      </w:r>
    </w:p>
    <w:p>
      <w:pPr>
        <w:pStyle w:val="3"/>
        <w:spacing w:line="338" w:lineRule="auto"/>
        <w:ind w:right="1797" w:firstLine="480"/>
        <w:rPr>
          <w:rFonts w:hint="eastAsia" w:ascii="微软雅黑" w:hAnsi="微软雅黑" w:eastAsia="微软雅黑"/>
        </w:rPr>
      </w:pPr>
      <w:r>
        <w:pict>
          <v:shape id="_x0000_s1063" o:spid="_x0000_s1063" o:spt="136" type="#_x0000_t136" style="position:absolute;left:0pt;margin-left:41.25pt;margin-top:54.75pt;height:132pt;width:528.05pt;mso-position-horizontal-relative:page;rotation:20643840f;z-index:-251618304;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hAnsi="微软雅黑" w:eastAsia="微软雅黑"/>
          <w:color w:val="333333"/>
          <w:spacing w:val="-4"/>
        </w:rPr>
        <w:t>⑧分立企业承继被分立企业所分立资产相关所得税事项</w:t>
      </w:r>
      <w:r>
        <w:rPr>
          <w:rFonts w:hint="eastAsia" w:ascii="微软雅黑" w:hAnsi="微软雅黑" w:eastAsia="微软雅黑"/>
          <w:color w:val="333333"/>
        </w:rPr>
        <w:t>（</w:t>
      </w:r>
      <w:r>
        <w:rPr>
          <w:rFonts w:hint="eastAsia" w:ascii="微软雅黑" w:hAnsi="微软雅黑" w:eastAsia="微软雅黑"/>
          <w:color w:val="333333"/>
          <w:spacing w:val="-3"/>
        </w:rPr>
        <w:t>包括尚未确认的资</w:t>
      </w:r>
      <w:r>
        <w:rPr>
          <w:rFonts w:hint="eastAsia" w:ascii="微软雅黑" w:hAnsi="微软雅黑" w:eastAsia="微软雅黑"/>
          <w:color w:val="333333"/>
        </w:rPr>
        <w:t>产损失、分期确认收入和尚未享受期满的税收优惠政策等）情况说明；</w:t>
      </w:r>
    </w:p>
    <w:p>
      <w:pPr>
        <w:pStyle w:val="3"/>
        <w:spacing w:before="0" w:line="338" w:lineRule="auto"/>
        <w:ind w:right="1797" w:firstLine="480"/>
        <w:rPr>
          <w:rFonts w:hint="eastAsia" w:ascii="微软雅黑" w:hAnsi="微软雅黑" w:eastAsia="微软雅黑"/>
        </w:rPr>
      </w:pPr>
      <w:r>
        <w:rPr>
          <w:rFonts w:hint="eastAsia" w:ascii="微软雅黑" w:hAnsi="微软雅黑" w:eastAsia="微软雅黑"/>
          <w:color w:val="333333"/>
        </w:rPr>
        <w:t>⑨若被分立企业尚有未超过法定弥补期限的亏损，应提供亏损弥补情况说明、被分立企业重组前净资产和分立资产公允价值的证明材料；</w:t>
      </w:r>
    </w:p>
    <w:p>
      <w:pPr>
        <w:pStyle w:val="3"/>
        <w:spacing w:line="338" w:lineRule="auto"/>
        <w:ind w:right="1795" w:firstLine="480"/>
        <w:rPr>
          <w:rFonts w:hint="eastAsia" w:ascii="微软雅黑" w:hAnsi="微软雅黑" w:eastAsia="微软雅黑"/>
        </w:rPr>
      </w:pPr>
      <w:r>
        <w:rPr>
          <w:rFonts w:hint="eastAsia" w:ascii="微软雅黑" w:hAnsi="微软雅黑" w:eastAsia="微软雅黑"/>
          <w:color w:val="333333"/>
          <w:spacing w:val="-2"/>
        </w:rPr>
        <w:t xml:space="preserve">⑩重组前连续 </w:t>
      </w:r>
      <w:r>
        <w:rPr>
          <w:rFonts w:hint="eastAsia" w:ascii="微软雅黑" w:hAnsi="微软雅黑" w:eastAsia="微软雅黑"/>
          <w:color w:val="333333"/>
        </w:rPr>
        <w:t>12</w:t>
      </w:r>
      <w:r>
        <w:rPr>
          <w:rFonts w:hint="eastAsia" w:ascii="微软雅黑" w:hAnsi="微软雅黑" w:eastAsia="微软雅黑"/>
          <w:color w:val="333333"/>
          <w:spacing w:val="-8"/>
        </w:rPr>
        <w:t xml:space="preserve"> 个月内有无与该重组相关的其他股权、资产交易,与该重组</w:t>
      </w:r>
      <w:r>
        <w:rPr>
          <w:rFonts w:hint="eastAsia" w:ascii="微软雅黑" w:hAnsi="微软雅黑" w:eastAsia="微软雅黑"/>
          <w:color w:val="333333"/>
        </w:rPr>
        <w:t>是否构成分步交易、是否作为一项企业重组业务进行处理情况的说明；</w:t>
      </w:r>
    </w:p>
    <w:p>
      <w:pPr>
        <w:pStyle w:val="3"/>
        <w:spacing w:before="0" w:line="338" w:lineRule="auto"/>
        <w:ind w:right="1797" w:firstLine="480"/>
        <w:jc w:val="both"/>
        <w:rPr>
          <w:rFonts w:hint="eastAsia" w:ascii="微软雅黑" w:hAnsi="微软雅黑" w:eastAsia="微软雅黑"/>
        </w:rPr>
      </w:pPr>
      <w:r>
        <w:rPr>
          <w:rFonts w:ascii="Cambria Math" w:hAnsi="Cambria Math" w:eastAsia="Cambria Math"/>
          <w:color w:val="333333"/>
        </w:rPr>
        <w:t>⑪</w:t>
      </w:r>
      <w:r>
        <w:rPr>
          <w:rFonts w:hint="eastAsia" w:ascii="微软雅黑" w:hAnsi="微软雅黑" w:eastAsia="微软雅黑"/>
          <w:color w:val="333333"/>
        </w:rPr>
        <w:t>按会计准则规定当期应确认资产</w:t>
      </w:r>
      <w:r>
        <w:rPr>
          <w:rFonts w:hint="eastAsia" w:ascii="微软雅黑" w:hAnsi="微软雅黑" w:eastAsia="微软雅黑"/>
          <w:color w:val="333333"/>
          <w:spacing w:val="4"/>
        </w:rPr>
        <w:t>（</w:t>
      </w:r>
      <w:r>
        <w:rPr>
          <w:rFonts w:hint="eastAsia" w:ascii="微软雅黑" w:hAnsi="微软雅黑" w:eastAsia="微软雅黑"/>
          <w:color w:val="333333"/>
        </w:rPr>
        <w:t>股权</w:t>
      </w:r>
      <w:r>
        <w:rPr>
          <w:rFonts w:hint="eastAsia" w:ascii="微软雅黑" w:hAnsi="微软雅黑" w:eastAsia="微软雅黑"/>
          <w:color w:val="333333"/>
          <w:spacing w:val="4"/>
        </w:rPr>
        <w:t>）</w:t>
      </w:r>
      <w:r>
        <w:rPr>
          <w:rFonts w:hint="eastAsia" w:ascii="微软雅黑" w:hAnsi="微软雅黑" w:eastAsia="微软雅黑"/>
          <w:color w:val="333333"/>
        </w:rPr>
        <w:t>转让损益的，应提供按税法规</w:t>
      </w:r>
      <w:r>
        <w:rPr>
          <w:rFonts w:hint="eastAsia" w:ascii="微软雅黑" w:hAnsi="微软雅黑" w:eastAsia="微软雅黑"/>
          <w:color w:val="333333"/>
          <w:spacing w:val="-4"/>
        </w:rPr>
        <w:t>定核算的资产</w:t>
      </w:r>
      <w:r>
        <w:rPr>
          <w:rFonts w:hint="eastAsia" w:ascii="微软雅黑" w:hAnsi="微软雅黑" w:eastAsia="微软雅黑"/>
          <w:color w:val="333333"/>
        </w:rPr>
        <w:t>（股权</w:t>
      </w:r>
      <w:r>
        <w:rPr>
          <w:rFonts w:hint="eastAsia" w:ascii="微软雅黑" w:hAnsi="微软雅黑" w:eastAsia="微软雅黑"/>
          <w:color w:val="333333"/>
          <w:spacing w:val="-24"/>
        </w:rPr>
        <w:t>）</w:t>
      </w:r>
      <w:r>
        <w:rPr>
          <w:rFonts w:hint="eastAsia" w:ascii="微软雅黑" w:hAnsi="微软雅黑" w:eastAsia="微软雅黑"/>
          <w:color w:val="333333"/>
          <w:spacing w:val="-2"/>
        </w:rPr>
        <w:t>计税基础与按会计准则规定核算的相关资产</w:t>
      </w:r>
      <w:r>
        <w:rPr>
          <w:rFonts w:hint="eastAsia" w:ascii="微软雅黑" w:hAnsi="微软雅黑" w:eastAsia="微软雅黑"/>
          <w:color w:val="333333"/>
        </w:rPr>
        <w:t>（股权</w:t>
      </w:r>
      <w:r>
        <w:rPr>
          <w:rFonts w:hint="eastAsia" w:ascii="微软雅黑" w:hAnsi="微软雅黑" w:eastAsia="微软雅黑"/>
          <w:color w:val="333333"/>
          <w:spacing w:val="-25"/>
        </w:rPr>
        <w:t>）</w:t>
      </w:r>
      <w:r>
        <w:rPr>
          <w:rFonts w:hint="eastAsia" w:ascii="微软雅黑" w:hAnsi="微软雅黑" w:eastAsia="微软雅黑"/>
          <w:color w:val="333333"/>
          <w:spacing w:val="-8"/>
        </w:rPr>
        <w:t>账面</w:t>
      </w:r>
      <w:r>
        <w:rPr>
          <w:rFonts w:hint="eastAsia" w:ascii="微软雅黑" w:hAnsi="微软雅黑" w:eastAsia="微软雅黑"/>
          <w:color w:val="333333"/>
        </w:rPr>
        <w:t>价值的暂时性差异专项说明。</w:t>
      </w:r>
    </w:p>
    <w:p>
      <w:pPr>
        <w:spacing w:before="1"/>
        <w:ind w:left="2280" w:right="0" w:firstLine="0"/>
        <w:jc w:val="left"/>
        <w:rPr>
          <w:rFonts w:hint="eastAsia" w:ascii="微软雅黑" w:eastAsia="微软雅黑"/>
          <w:b/>
          <w:sz w:val="24"/>
        </w:rPr>
      </w:pPr>
      <w:r>
        <w:rPr>
          <w:rFonts w:hint="eastAsia" w:ascii="微软雅黑" w:eastAsia="微软雅黑"/>
          <w:b/>
          <w:color w:val="333333"/>
          <w:sz w:val="24"/>
        </w:rPr>
        <w:t>【政策依据】</w:t>
      </w:r>
    </w:p>
    <w:p>
      <w:pPr>
        <w:pStyle w:val="8"/>
        <w:numPr>
          <w:ilvl w:val="0"/>
          <w:numId w:val="45"/>
        </w:numPr>
        <w:tabs>
          <w:tab w:val="left" w:pos="2481"/>
        </w:tabs>
        <w:spacing w:before="182" w:after="0" w:line="240" w:lineRule="auto"/>
        <w:ind w:left="2480" w:right="0" w:hanging="201"/>
        <w:jc w:val="left"/>
        <w:rPr>
          <w:sz w:val="24"/>
        </w:rPr>
      </w:pPr>
      <w:r>
        <w:fldChar w:fldCharType="begin"/>
      </w:r>
      <w:r>
        <w:instrText xml:space="preserve"> HYPERLINK \l "_bookmark16" </w:instrText>
      </w:r>
      <w:r>
        <w:fldChar w:fldCharType="separate"/>
      </w:r>
      <w:r>
        <w:rPr>
          <w:color w:val="0000FF"/>
          <w:sz w:val="24"/>
          <w:u w:val="single" w:color="0000FF"/>
        </w:rPr>
        <w:t>《中华人民共和国企业所得税法》第二十条</w:t>
      </w:r>
      <w:r>
        <w:rPr>
          <w:color w:val="0000FF"/>
          <w:sz w:val="24"/>
          <w:u w:val="single" w:color="0000FF"/>
        </w:rPr>
        <w:fldChar w:fldCharType="end"/>
      </w:r>
    </w:p>
    <w:p>
      <w:pPr>
        <w:pStyle w:val="8"/>
        <w:numPr>
          <w:ilvl w:val="0"/>
          <w:numId w:val="45"/>
        </w:numPr>
        <w:tabs>
          <w:tab w:val="left" w:pos="2481"/>
        </w:tabs>
        <w:spacing w:before="181" w:after="0" w:line="240" w:lineRule="auto"/>
        <w:ind w:left="2480" w:right="0" w:hanging="201"/>
        <w:jc w:val="left"/>
        <w:rPr>
          <w:sz w:val="24"/>
        </w:rPr>
      </w:pPr>
      <w:r>
        <w:fldChar w:fldCharType="begin"/>
      </w:r>
      <w:r>
        <w:instrText xml:space="preserve"> HYPERLINK \l "_bookmark17" </w:instrText>
      </w:r>
      <w:r>
        <w:fldChar w:fldCharType="separate"/>
      </w:r>
      <w:r>
        <w:rPr>
          <w:color w:val="0000FF"/>
          <w:sz w:val="24"/>
          <w:u w:val="single" w:color="0000FF"/>
        </w:rPr>
        <w:t>《中华人民共和国企业所得税法实施条例》第七十五条</w:t>
      </w:r>
      <w:r>
        <w:rPr>
          <w:color w:val="0000FF"/>
          <w:sz w:val="24"/>
          <w:u w:val="single" w:color="0000FF"/>
        </w:rPr>
        <w:fldChar w:fldCharType="end"/>
      </w:r>
    </w:p>
    <w:p>
      <w:pPr>
        <w:pStyle w:val="8"/>
        <w:numPr>
          <w:ilvl w:val="0"/>
          <w:numId w:val="45"/>
        </w:numPr>
        <w:tabs>
          <w:tab w:val="left" w:pos="2484"/>
        </w:tabs>
        <w:spacing w:before="182" w:after="0" w:line="338" w:lineRule="auto"/>
        <w:ind w:left="1800" w:right="1797" w:firstLine="480"/>
        <w:jc w:val="left"/>
        <w:rPr>
          <w:sz w:val="24"/>
        </w:rPr>
      </w:pPr>
      <w:r>
        <w:fldChar w:fldCharType="begin"/>
      </w:r>
      <w:r>
        <w:instrText xml:space="preserve"> HYPERLINK \l "_bookmark18" </w:instrText>
      </w:r>
      <w:r>
        <w:fldChar w:fldCharType="separate"/>
      </w:r>
      <w:r>
        <w:rPr>
          <w:color w:val="0000FF"/>
          <w:spacing w:val="7"/>
          <w:sz w:val="24"/>
          <w:u w:val="single" w:color="0000FF"/>
        </w:rPr>
        <w:t>《</w:t>
      </w:r>
      <w:r>
        <w:rPr>
          <w:color w:val="0000FF"/>
          <w:spacing w:val="7"/>
          <w:sz w:val="24"/>
          <w:u w:val="single" w:color="0000FF"/>
        </w:rPr>
        <w:fldChar w:fldCharType="end"/>
      </w:r>
      <w:r>
        <w:fldChar w:fldCharType="begin"/>
      </w:r>
      <w:r>
        <w:instrText xml:space="preserve"> HYPERLINK \l "_bookmark18" </w:instrText>
      </w:r>
      <w:r>
        <w:fldChar w:fldCharType="separate"/>
      </w:r>
      <w:r>
        <w:rPr>
          <w:color w:val="0000FF"/>
          <w:spacing w:val="3"/>
          <w:sz w:val="24"/>
          <w:u w:val="single" w:color="0000FF"/>
        </w:rPr>
        <w:t>财政部国家税务总局关于企业重组业务企业所得税处理若干问题的通</w:t>
      </w:r>
      <w:r>
        <w:rPr>
          <w:color w:val="0000FF"/>
          <w:spacing w:val="3"/>
          <w:sz w:val="24"/>
          <w:u w:val="single" w:color="0000FF"/>
        </w:rPr>
        <w:fldChar w:fldCharType="end"/>
      </w:r>
      <w:r>
        <w:rPr>
          <w:color w:val="0000FF"/>
          <w:spacing w:val="-231"/>
          <w:sz w:val="24"/>
          <w:u w:val="single" w:color="0000FF"/>
        </w:rPr>
        <w:t>知》</w:t>
      </w:r>
      <w:r>
        <w:rPr>
          <w:color w:val="0000FF"/>
          <w:sz w:val="24"/>
          <w:u w:val="single" w:color="0000FF"/>
        </w:rPr>
        <w:t>（财税〔2009〕59</w:t>
      </w:r>
      <w:r>
        <w:rPr>
          <w:color w:val="0000FF"/>
          <w:spacing w:val="-6"/>
          <w:sz w:val="24"/>
          <w:u w:val="single" w:color="0000FF"/>
        </w:rPr>
        <w:t xml:space="preserve"> 号</w:t>
      </w:r>
      <w:r>
        <w:rPr>
          <w:color w:val="0000FF"/>
          <w:sz w:val="24"/>
          <w:u w:val="single" w:color="0000FF"/>
        </w:rPr>
        <w:t>）</w:t>
      </w:r>
    </w:p>
    <w:p>
      <w:pPr>
        <w:spacing w:after="0" w:line="338" w:lineRule="auto"/>
        <w:jc w:val="left"/>
        <w:rPr>
          <w:sz w:val="24"/>
        </w:rPr>
        <w:sectPr>
          <w:pgSz w:w="11910" w:h="16840"/>
          <w:pgMar w:top="1540" w:right="0" w:bottom="1380" w:left="0" w:header="965" w:footer="1182" w:gutter="0"/>
          <w:cols w:space="720" w:num="1"/>
        </w:sectPr>
      </w:pPr>
    </w:p>
    <w:p>
      <w:pPr>
        <w:pStyle w:val="3"/>
        <w:spacing w:before="11"/>
        <w:ind w:left="0"/>
        <w:rPr>
          <w:rFonts w:ascii="微软雅黑"/>
          <w:sz w:val="10"/>
        </w:rPr>
      </w:pPr>
    </w:p>
    <w:p>
      <w:pPr>
        <w:pStyle w:val="8"/>
        <w:numPr>
          <w:ilvl w:val="0"/>
          <w:numId w:val="45"/>
        </w:numPr>
        <w:tabs>
          <w:tab w:val="left" w:pos="2481"/>
        </w:tabs>
        <w:spacing w:before="37" w:after="0" w:line="240" w:lineRule="auto"/>
        <w:ind w:left="2480" w:right="0" w:hanging="201"/>
        <w:jc w:val="left"/>
        <w:rPr>
          <w:sz w:val="24"/>
        </w:rPr>
      </w:pPr>
      <w:r>
        <w:fldChar w:fldCharType="begin"/>
      </w:r>
      <w:r>
        <w:instrText xml:space="preserve"> HYPERLINK \l "_bookmark19" </w:instrText>
      </w:r>
      <w:r>
        <w:fldChar w:fldCharType="separate"/>
      </w:r>
      <w:r>
        <w:rPr>
          <w:color w:val="0000FF"/>
          <w:sz w:val="24"/>
          <w:u w:val="single" w:color="0000FF"/>
        </w:rPr>
        <w:t>《</w:t>
      </w:r>
      <w:r>
        <w:rPr>
          <w:color w:val="0000FF"/>
          <w:sz w:val="24"/>
          <w:u w:val="single" w:color="0000FF"/>
        </w:rPr>
        <w:fldChar w:fldCharType="end"/>
      </w:r>
      <w:r>
        <w:fldChar w:fldCharType="begin"/>
      </w:r>
      <w:r>
        <w:instrText xml:space="preserve"> HYPERLINK \l "_bookmark19" </w:instrText>
      </w:r>
      <w:r>
        <w:fldChar w:fldCharType="separate"/>
      </w:r>
      <w:r>
        <w:rPr>
          <w:color w:val="0000FF"/>
          <w:sz w:val="24"/>
          <w:u w:val="single" w:color="0000FF"/>
        </w:rPr>
        <w:t>国家税务总局关于发布&lt;企业重组业务企业所得税管理办法&gt;的公告》</w:t>
      </w:r>
      <w:r>
        <w:rPr>
          <w:color w:val="0000FF"/>
          <w:sz w:val="24"/>
          <w:u w:val="single" w:color="0000FF"/>
        </w:rPr>
        <w:fldChar w:fldCharType="end"/>
      </w:r>
    </w:p>
    <w:p>
      <w:pPr>
        <w:pStyle w:val="3"/>
        <w:spacing w:before="182"/>
        <w:rPr>
          <w:rFonts w:hint="eastAsia" w:ascii="微软雅黑" w:eastAsia="微软雅黑"/>
        </w:rPr>
      </w:pPr>
      <w:r>
        <w:rPr>
          <w:rFonts w:hint="eastAsia" w:ascii="微软雅黑" w:eastAsia="微软雅黑"/>
          <w:color w:val="0000FF"/>
          <w:u w:val="single" w:color="0000FF"/>
        </w:rPr>
        <w:t>（国家税务总局公告 2010 年第 4 号）</w:t>
      </w:r>
    </w:p>
    <w:p>
      <w:pPr>
        <w:pStyle w:val="8"/>
        <w:numPr>
          <w:ilvl w:val="0"/>
          <w:numId w:val="45"/>
        </w:numPr>
        <w:tabs>
          <w:tab w:val="left" w:pos="2484"/>
        </w:tabs>
        <w:spacing w:before="181" w:after="0" w:line="338" w:lineRule="auto"/>
        <w:ind w:left="1800" w:right="1797" w:firstLine="480"/>
        <w:jc w:val="left"/>
        <w:rPr>
          <w:sz w:val="24"/>
        </w:rPr>
      </w:pPr>
      <w:r>
        <w:fldChar w:fldCharType="begin"/>
      </w:r>
      <w:r>
        <w:instrText xml:space="preserve"> HYPERLINK \l "_bookmark20" </w:instrText>
      </w:r>
      <w:r>
        <w:fldChar w:fldCharType="separate"/>
      </w:r>
      <w:r>
        <w:rPr>
          <w:color w:val="0000FF"/>
          <w:spacing w:val="7"/>
          <w:sz w:val="24"/>
          <w:u w:val="single" w:color="0000FF"/>
        </w:rPr>
        <w:t>《</w:t>
      </w:r>
      <w:r>
        <w:rPr>
          <w:color w:val="0000FF"/>
          <w:spacing w:val="7"/>
          <w:sz w:val="24"/>
          <w:u w:val="single" w:color="0000FF"/>
        </w:rPr>
        <w:fldChar w:fldCharType="end"/>
      </w:r>
      <w:r>
        <w:fldChar w:fldCharType="begin"/>
      </w:r>
      <w:r>
        <w:instrText xml:space="preserve"> HYPERLINK \l "_bookmark20" </w:instrText>
      </w:r>
      <w:r>
        <w:fldChar w:fldCharType="separate"/>
      </w:r>
      <w:r>
        <w:rPr>
          <w:color w:val="0000FF"/>
          <w:spacing w:val="3"/>
          <w:sz w:val="24"/>
          <w:u w:val="single" w:color="0000FF"/>
        </w:rPr>
        <w:t>财政部国家税务总局关于促进企业重组有关企业所得税处理问题的通</w:t>
      </w:r>
      <w:r>
        <w:rPr>
          <w:color w:val="0000FF"/>
          <w:spacing w:val="3"/>
          <w:sz w:val="24"/>
          <w:u w:val="single" w:color="0000FF"/>
        </w:rPr>
        <w:fldChar w:fldCharType="end"/>
      </w:r>
      <w:r>
        <w:rPr>
          <w:color w:val="0000FF"/>
          <w:spacing w:val="-231"/>
          <w:sz w:val="24"/>
          <w:u w:val="single" w:color="0000FF"/>
        </w:rPr>
        <w:t>知》</w:t>
      </w:r>
      <w:r>
        <w:rPr>
          <w:color w:val="0000FF"/>
          <w:sz w:val="24"/>
          <w:u w:val="single" w:color="0000FF"/>
        </w:rPr>
        <w:t>（财税〔2014〕109</w:t>
      </w:r>
      <w:r>
        <w:rPr>
          <w:color w:val="0000FF"/>
          <w:spacing w:val="-7"/>
          <w:sz w:val="24"/>
          <w:u w:val="single" w:color="0000FF"/>
        </w:rPr>
        <w:t xml:space="preserve"> 号</w:t>
      </w:r>
      <w:r>
        <w:rPr>
          <w:color w:val="0000FF"/>
          <w:sz w:val="24"/>
          <w:u w:val="single" w:color="0000FF"/>
        </w:rPr>
        <w:t>）</w:t>
      </w:r>
    </w:p>
    <w:p>
      <w:pPr>
        <w:pStyle w:val="8"/>
        <w:numPr>
          <w:ilvl w:val="0"/>
          <w:numId w:val="45"/>
        </w:numPr>
        <w:tabs>
          <w:tab w:val="left" w:pos="2481"/>
        </w:tabs>
        <w:spacing w:before="1" w:after="0" w:line="240" w:lineRule="auto"/>
        <w:ind w:left="2480" w:right="0" w:hanging="201"/>
        <w:jc w:val="left"/>
        <w:rPr>
          <w:sz w:val="24"/>
        </w:rPr>
      </w:pPr>
      <w:r>
        <w:fldChar w:fldCharType="begin"/>
      </w:r>
      <w:r>
        <w:instrText xml:space="preserve"> HYPERLINK \l "_bookmark21" </w:instrText>
      </w:r>
      <w:r>
        <w:fldChar w:fldCharType="separate"/>
      </w:r>
      <w:r>
        <w:rPr>
          <w:color w:val="0000FF"/>
          <w:sz w:val="24"/>
          <w:u w:val="single" w:color="0000FF"/>
        </w:rPr>
        <w:t>《国家税务总局关于企业重组业务企业所得税</w:t>
      </w:r>
      <w:r>
        <w:rPr>
          <w:color w:val="0000FF"/>
          <w:sz w:val="24"/>
          <w:u w:val="single" w:color="0000FF"/>
        </w:rPr>
        <w:fldChar w:fldCharType="end"/>
      </w:r>
      <w:r>
        <w:fldChar w:fldCharType="begin"/>
      </w:r>
      <w:r>
        <w:instrText xml:space="preserve"> HYPERLINK \l "_bookmark21" </w:instrText>
      </w:r>
      <w:r>
        <w:fldChar w:fldCharType="separate"/>
      </w:r>
      <w:r>
        <w:rPr>
          <w:color w:val="0000FF"/>
          <w:sz w:val="24"/>
          <w:u w:val="single" w:color="0000FF"/>
        </w:rPr>
        <w:t>征收管理若干问题的公告》</w:t>
      </w:r>
      <w:r>
        <w:rPr>
          <w:color w:val="0000FF"/>
          <w:sz w:val="24"/>
          <w:u w:val="single" w:color="0000FF"/>
        </w:rPr>
        <w:fldChar w:fldCharType="end"/>
      </w:r>
    </w:p>
    <w:p>
      <w:pPr>
        <w:pStyle w:val="3"/>
        <w:spacing w:before="181"/>
        <w:rPr>
          <w:rFonts w:hint="eastAsia" w:ascii="微软雅黑" w:eastAsia="微软雅黑"/>
        </w:rPr>
      </w:pPr>
      <w:r>
        <w:rPr>
          <w:rFonts w:hint="eastAsia" w:ascii="微软雅黑" w:eastAsia="微软雅黑"/>
          <w:color w:val="0000FF"/>
          <w:u w:val="single" w:color="0000FF"/>
        </w:rPr>
        <w:t>（国家税务总局公告 2015 年第 48 号）</w:t>
      </w:r>
    </w:p>
    <w:p>
      <w:pPr>
        <w:pStyle w:val="3"/>
        <w:spacing w:before="0"/>
        <w:ind w:left="0"/>
        <w:rPr>
          <w:rFonts w:ascii="微软雅黑"/>
          <w:sz w:val="20"/>
        </w:rPr>
      </w:pPr>
    </w:p>
    <w:p>
      <w:pPr>
        <w:pStyle w:val="3"/>
        <w:spacing w:before="13"/>
        <w:ind w:left="0"/>
        <w:rPr>
          <w:rFonts w:ascii="微软雅黑"/>
          <w:sz w:val="21"/>
        </w:rPr>
      </w:pPr>
    </w:p>
    <w:p>
      <w:pPr>
        <w:spacing w:before="37"/>
        <w:ind w:left="2280" w:right="0" w:firstLine="0"/>
        <w:jc w:val="left"/>
        <w:outlineLvl w:val="1"/>
        <w:rPr>
          <w:rFonts w:hint="eastAsia" w:ascii="微软雅黑" w:eastAsia="微软雅黑"/>
          <w:b/>
          <w:sz w:val="24"/>
        </w:rPr>
      </w:pPr>
      <w:r>
        <w:rPr>
          <w:rFonts w:hint="eastAsia" w:ascii="微软雅黑" w:eastAsia="微软雅黑"/>
          <w:b/>
          <w:color w:val="333333"/>
          <w:sz w:val="24"/>
        </w:rPr>
        <w:t>（七）资产（股权）划转</w:t>
      </w:r>
    </w:p>
    <w:p>
      <w:pPr>
        <w:spacing w:before="182"/>
        <w:ind w:left="2280" w:right="0" w:firstLine="0"/>
        <w:jc w:val="left"/>
        <w:rPr>
          <w:rFonts w:hint="eastAsia" w:ascii="微软雅黑" w:eastAsia="微软雅黑"/>
          <w:b/>
          <w:sz w:val="24"/>
        </w:rPr>
      </w:pPr>
      <w:r>
        <w:pict>
          <v:shape id="_x0000_s1064" o:spid="_x0000_s1064" o:spt="136" type="#_x0000_t136" style="position:absolute;left:0pt;margin-left:41.25pt;margin-top:32.6pt;height:132pt;width:528.05pt;mso-position-horizontal-relative:page;rotation:20643840f;z-index:-251617280;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eastAsia="微软雅黑"/>
          <w:b/>
          <w:color w:val="333333"/>
          <w:sz w:val="24"/>
        </w:rPr>
        <w:t>【适用主体】</w:t>
      </w:r>
    </w:p>
    <w:p>
      <w:pPr>
        <w:pStyle w:val="3"/>
        <w:spacing w:before="181"/>
        <w:ind w:left="2280"/>
        <w:rPr>
          <w:rFonts w:hint="eastAsia" w:ascii="微软雅黑" w:eastAsia="微软雅黑"/>
        </w:rPr>
      </w:pPr>
      <w:r>
        <w:rPr>
          <w:rFonts w:hint="eastAsia" w:ascii="微软雅黑" w:eastAsia="微软雅黑"/>
          <w:color w:val="333333"/>
        </w:rPr>
        <w:t>居民企业</w:t>
      </w:r>
    </w:p>
    <w:p>
      <w:pPr>
        <w:spacing w:before="182"/>
        <w:ind w:left="2280" w:right="0" w:firstLine="0"/>
        <w:jc w:val="left"/>
        <w:rPr>
          <w:rFonts w:hint="eastAsia" w:ascii="微软雅黑" w:eastAsia="微软雅黑"/>
          <w:b/>
          <w:sz w:val="24"/>
        </w:rPr>
      </w:pPr>
      <w:r>
        <w:rPr>
          <w:rFonts w:hint="eastAsia" w:ascii="微软雅黑" w:eastAsia="微软雅黑"/>
          <w:b/>
          <w:color w:val="333333"/>
          <w:sz w:val="24"/>
        </w:rPr>
        <w:t>【政策内容】</w:t>
      </w:r>
    </w:p>
    <w:p>
      <w:pPr>
        <w:pStyle w:val="8"/>
        <w:numPr>
          <w:ilvl w:val="0"/>
          <w:numId w:val="46"/>
        </w:numPr>
        <w:tabs>
          <w:tab w:val="left" w:pos="2481"/>
        </w:tabs>
        <w:spacing w:before="182" w:after="0" w:line="240" w:lineRule="auto"/>
        <w:ind w:left="2480" w:right="0" w:hanging="201"/>
        <w:jc w:val="left"/>
        <w:rPr>
          <w:sz w:val="24"/>
        </w:rPr>
      </w:pPr>
      <w:r>
        <w:rPr>
          <w:color w:val="333333"/>
          <w:sz w:val="24"/>
        </w:rPr>
        <w:t>基本处理规定</w:t>
      </w:r>
    </w:p>
    <w:p>
      <w:pPr>
        <w:pStyle w:val="8"/>
        <w:numPr>
          <w:ilvl w:val="0"/>
          <w:numId w:val="47"/>
        </w:numPr>
        <w:tabs>
          <w:tab w:val="left" w:pos="2901"/>
        </w:tabs>
        <w:spacing w:before="181" w:after="0" w:line="240" w:lineRule="auto"/>
        <w:ind w:left="2900" w:right="0" w:hanging="621"/>
        <w:jc w:val="left"/>
        <w:rPr>
          <w:sz w:val="24"/>
        </w:rPr>
      </w:pPr>
      <w:r>
        <w:rPr>
          <w:color w:val="333333"/>
          <w:sz w:val="24"/>
        </w:rPr>
        <w:t>资产（股权）划出方企业和划入方企业均不确认所得。</w:t>
      </w:r>
    </w:p>
    <w:p>
      <w:pPr>
        <w:pStyle w:val="8"/>
        <w:numPr>
          <w:ilvl w:val="0"/>
          <w:numId w:val="47"/>
        </w:numPr>
        <w:tabs>
          <w:tab w:val="left" w:pos="2903"/>
        </w:tabs>
        <w:spacing w:before="182" w:after="0" w:line="338" w:lineRule="auto"/>
        <w:ind w:left="1800" w:right="1797" w:firstLine="480"/>
        <w:jc w:val="left"/>
        <w:rPr>
          <w:sz w:val="24"/>
        </w:rPr>
      </w:pPr>
      <w:r>
        <w:rPr>
          <w:color w:val="333333"/>
          <w:sz w:val="24"/>
        </w:rPr>
        <w:t>资产（股权）</w:t>
      </w:r>
      <w:r>
        <w:rPr>
          <w:color w:val="333333"/>
          <w:spacing w:val="-1"/>
          <w:sz w:val="24"/>
        </w:rPr>
        <w:t>划入方企业取得被划转股权或资产的计税基础，以被划</w:t>
      </w:r>
      <w:r>
        <w:rPr>
          <w:color w:val="333333"/>
          <w:sz w:val="24"/>
        </w:rPr>
        <w:t>转股权或资产的原账面净值（即原计税基础）确定。</w:t>
      </w:r>
    </w:p>
    <w:p>
      <w:pPr>
        <w:pStyle w:val="8"/>
        <w:numPr>
          <w:ilvl w:val="0"/>
          <w:numId w:val="47"/>
        </w:numPr>
        <w:tabs>
          <w:tab w:val="left" w:pos="2903"/>
        </w:tabs>
        <w:spacing w:before="0" w:after="0" w:line="338" w:lineRule="auto"/>
        <w:ind w:left="1800" w:right="1797" w:firstLine="480"/>
        <w:jc w:val="left"/>
        <w:rPr>
          <w:sz w:val="24"/>
        </w:rPr>
      </w:pPr>
      <w:r>
        <w:rPr>
          <w:color w:val="333333"/>
          <w:sz w:val="24"/>
        </w:rPr>
        <w:t>资产（股权）划入方企业取得的被划转资产，应按其原账面净值（</w:t>
      </w:r>
      <w:r>
        <w:rPr>
          <w:color w:val="333333"/>
          <w:spacing w:val="-16"/>
          <w:sz w:val="24"/>
        </w:rPr>
        <w:t>即</w:t>
      </w:r>
      <w:r>
        <w:rPr>
          <w:color w:val="333333"/>
          <w:sz w:val="24"/>
        </w:rPr>
        <w:t>原计税基础）计算折旧扣除。</w:t>
      </w:r>
    </w:p>
    <w:p>
      <w:pPr>
        <w:pStyle w:val="8"/>
        <w:numPr>
          <w:ilvl w:val="0"/>
          <w:numId w:val="46"/>
        </w:numPr>
        <w:tabs>
          <w:tab w:val="left" w:pos="2481"/>
        </w:tabs>
        <w:spacing w:before="1" w:after="0" w:line="240" w:lineRule="auto"/>
        <w:ind w:left="2480" w:right="0" w:hanging="201"/>
        <w:jc w:val="left"/>
        <w:rPr>
          <w:sz w:val="24"/>
        </w:rPr>
      </w:pPr>
      <w:r>
        <w:rPr>
          <w:color w:val="333333"/>
          <w:sz w:val="24"/>
        </w:rPr>
        <w:t>具体类型处理规定</w:t>
      </w:r>
    </w:p>
    <w:p>
      <w:pPr>
        <w:pStyle w:val="3"/>
        <w:spacing w:before="181" w:line="338" w:lineRule="auto"/>
        <w:ind w:right="1795" w:firstLine="480"/>
        <w:rPr>
          <w:rFonts w:hint="eastAsia" w:ascii="微软雅黑" w:eastAsia="微软雅黑"/>
        </w:rPr>
      </w:pPr>
      <w:r>
        <w:rPr>
          <w:rFonts w:hint="eastAsia" w:ascii="微软雅黑" w:eastAsia="微软雅黑"/>
          <w:color w:val="333333"/>
        </w:rPr>
        <w:t>（1）100%直接控制的母子公司之间，母公司向子公司按账面净值划转其持有的股权或资产,母公司获得子公司 100%的股权支付</w:t>
      </w:r>
    </w:p>
    <w:p>
      <w:pPr>
        <w:spacing w:after="0" w:line="338" w:lineRule="auto"/>
        <w:rPr>
          <w:rFonts w:hint="eastAsia" w:ascii="微软雅黑" w:eastAsia="微软雅黑"/>
        </w:rPr>
        <w:sectPr>
          <w:pgSz w:w="11910" w:h="16840"/>
          <w:pgMar w:top="1540" w:right="0" w:bottom="1380" w:left="0" w:header="965" w:footer="1182" w:gutter="0"/>
          <w:cols w:space="720" w:num="1"/>
        </w:sectPr>
      </w:pPr>
    </w:p>
    <w:p>
      <w:pPr>
        <w:pStyle w:val="3"/>
        <w:spacing w:before="11"/>
        <w:ind w:left="0"/>
        <w:rPr>
          <w:rFonts w:ascii="微软雅黑"/>
          <w:sz w:val="10"/>
        </w:rPr>
      </w:pPr>
    </w:p>
    <w:p>
      <w:pPr>
        <w:pStyle w:val="3"/>
        <w:spacing w:before="37" w:line="338" w:lineRule="auto"/>
        <w:ind w:right="1795" w:firstLine="480"/>
        <w:jc w:val="both"/>
        <w:rPr>
          <w:rFonts w:hint="eastAsia" w:ascii="微软雅黑" w:hAnsi="微软雅黑" w:eastAsia="微软雅黑"/>
        </w:rPr>
      </w:pPr>
      <w:r>
        <w:rPr>
          <w:rFonts w:hint="eastAsia" w:ascii="微软雅黑" w:hAnsi="微软雅黑" w:eastAsia="微软雅黑"/>
          <w:color w:val="333333"/>
          <w:spacing w:val="-4"/>
        </w:rPr>
        <w:t>①母公司按增加长期股权投资处理，子公司按接受投资</w:t>
      </w:r>
      <w:r>
        <w:rPr>
          <w:rFonts w:hint="eastAsia" w:ascii="微软雅黑" w:hAnsi="微软雅黑" w:eastAsia="微软雅黑"/>
          <w:color w:val="333333"/>
          <w:spacing w:val="-3"/>
        </w:rPr>
        <w:t>（</w:t>
      </w:r>
      <w:r>
        <w:rPr>
          <w:rFonts w:hint="eastAsia" w:ascii="微软雅黑" w:hAnsi="微软雅黑" w:eastAsia="微软雅黑"/>
          <w:color w:val="333333"/>
          <w:spacing w:val="-7"/>
        </w:rPr>
        <w:t>包括资本公积，下</w:t>
      </w:r>
      <w:r>
        <w:rPr>
          <w:rFonts w:hint="eastAsia" w:ascii="微软雅黑" w:hAnsi="微软雅黑" w:eastAsia="微软雅黑"/>
          <w:color w:val="333333"/>
        </w:rPr>
        <w:t>同</w:t>
      </w:r>
      <w:r>
        <w:rPr>
          <w:rFonts w:hint="eastAsia" w:ascii="微软雅黑" w:hAnsi="微软雅黑" w:eastAsia="微软雅黑"/>
          <w:color w:val="333333"/>
          <w:spacing w:val="-48"/>
        </w:rPr>
        <w:t>）</w:t>
      </w:r>
      <w:r>
        <w:rPr>
          <w:rFonts w:hint="eastAsia" w:ascii="微软雅黑" w:hAnsi="微软雅黑" w:eastAsia="微软雅黑"/>
          <w:color w:val="333333"/>
          <w:spacing w:val="-8"/>
        </w:rPr>
        <w:t>处理。母公司获得子公司股权的计税基础以划转股权或资产的原计税基础确</w:t>
      </w:r>
      <w:r>
        <w:rPr>
          <w:rFonts w:hint="eastAsia" w:ascii="微软雅黑" w:hAnsi="微软雅黑" w:eastAsia="微软雅黑"/>
          <w:color w:val="333333"/>
        </w:rPr>
        <w:t>定。</w:t>
      </w:r>
    </w:p>
    <w:p>
      <w:pPr>
        <w:pStyle w:val="3"/>
        <w:spacing w:line="338" w:lineRule="auto"/>
        <w:ind w:right="1797" w:firstLine="480"/>
        <w:jc w:val="both"/>
        <w:rPr>
          <w:rFonts w:hint="eastAsia" w:ascii="微软雅黑" w:hAnsi="微软雅黑" w:eastAsia="微软雅黑"/>
        </w:rPr>
      </w:pPr>
      <w:r>
        <w:rPr>
          <w:rFonts w:hint="eastAsia" w:ascii="微软雅黑" w:hAnsi="微软雅黑" w:eastAsia="微软雅黑"/>
          <w:color w:val="333333"/>
          <w:spacing w:val="5"/>
        </w:rPr>
        <w:t xml:space="preserve">②若交易一方在股权或资产划转完成日后连续 </w:t>
      </w:r>
      <w:r>
        <w:rPr>
          <w:rFonts w:hint="eastAsia" w:ascii="微软雅黑" w:hAnsi="微软雅黑" w:eastAsia="微软雅黑"/>
          <w:color w:val="333333"/>
        </w:rPr>
        <w:t>12</w:t>
      </w:r>
      <w:r>
        <w:rPr>
          <w:rFonts w:hint="eastAsia" w:ascii="微软雅黑" w:hAnsi="微软雅黑" w:eastAsia="微软雅黑"/>
          <w:color w:val="333333"/>
          <w:spacing w:val="4"/>
        </w:rPr>
        <w:t xml:space="preserve"> 个月内发生生产经营业</w:t>
      </w:r>
      <w:r>
        <w:rPr>
          <w:rFonts w:hint="eastAsia" w:ascii="微软雅黑" w:hAnsi="微软雅黑" w:eastAsia="微软雅黑"/>
          <w:color w:val="333333"/>
          <w:spacing w:val="-11"/>
        </w:rPr>
        <w:t>务、公司性质、资产或股权结构等情况变化，致使股权或资产划转不再符合特殊</w:t>
      </w:r>
      <w:r>
        <w:rPr>
          <w:rFonts w:hint="eastAsia" w:ascii="微软雅黑" w:hAnsi="微软雅黑" w:eastAsia="微软雅黑"/>
          <w:color w:val="333333"/>
          <w:spacing w:val="-3"/>
        </w:rPr>
        <w:t>性税务处理条件的</w:t>
      </w:r>
      <w:r>
        <w:rPr>
          <w:rFonts w:hint="eastAsia" w:ascii="微软雅黑" w:hAnsi="微软雅黑" w:eastAsia="微软雅黑"/>
          <w:color w:val="333333"/>
        </w:rPr>
        <w:t>（</w:t>
      </w:r>
      <w:r>
        <w:rPr>
          <w:rFonts w:hint="eastAsia" w:ascii="微软雅黑" w:hAnsi="微软雅黑" w:eastAsia="微软雅黑"/>
          <w:color w:val="333333"/>
          <w:spacing w:val="-5"/>
        </w:rPr>
        <w:t>以下简称“不再符合特殊性处理条件的</w:t>
      </w:r>
      <w:r>
        <w:rPr>
          <w:rFonts w:hint="eastAsia" w:ascii="微软雅黑" w:hAnsi="微软雅黑" w:eastAsia="微软雅黑"/>
          <w:color w:val="333333"/>
          <w:spacing w:val="-20"/>
        </w:rPr>
        <w:t>”），</w:t>
      </w:r>
      <w:r>
        <w:rPr>
          <w:rFonts w:hint="eastAsia" w:ascii="微软雅黑" w:hAnsi="微软雅黑" w:eastAsia="微软雅黑"/>
          <w:color w:val="333333"/>
          <w:spacing w:val="-3"/>
        </w:rPr>
        <w:t>应当进行以下</w:t>
      </w:r>
      <w:r>
        <w:rPr>
          <w:rFonts w:hint="eastAsia" w:ascii="微软雅黑" w:hAnsi="微软雅黑" w:eastAsia="微软雅黑"/>
          <w:color w:val="333333"/>
        </w:rPr>
        <w:t>处理：</w:t>
      </w:r>
    </w:p>
    <w:p>
      <w:pPr>
        <w:pStyle w:val="3"/>
        <w:spacing w:line="338" w:lineRule="auto"/>
        <w:ind w:right="1797" w:firstLine="480"/>
        <w:jc w:val="both"/>
        <w:rPr>
          <w:rFonts w:hint="eastAsia" w:ascii="微软雅黑" w:eastAsia="微软雅黑"/>
        </w:rPr>
      </w:pPr>
      <w:r>
        <w:pict>
          <v:shape id="_x0000_s1065" o:spid="_x0000_s1065" o:spt="136" type="#_x0000_t136" style="position:absolute;left:0pt;margin-left:41.25pt;margin-top:54.75pt;height:132pt;width:528.05pt;mso-position-horizontal-relative:page;rotation:20643840f;z-index:-251616256;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eastAsia="微软雅黑"/>
          <w:color w:val="333333"/>
          <w:spacing w:val="-5"/>
        </w:rPr>
        <w:t>母公司应按原划转完成时股权或资产的公允价值视同销售处理，并按公允价</w:t>
      </w:r>
      <w:r>
        <w:rPr>
          <w:rFonts w:hint="eastAsia" w:ascii="微软雅黑" w:eastAsia="微软雅黑"/>
          <w:color w:val="333333"/>
          <w:spacing w:val="-7"/>
        </w:rPr>
        <w:t>值确认取得长期股权投资的计税基础；子公司按公允价值确认划入股权或资产的</w:t>
      </w:r>
      <w:r>
        <w:rPr>
          <w:rFonts w:hint="eastAsia" w:ascii="微软雅黑" w:eastAsia="微软雅黑"/>
          <w:color w:val="333333"/>
        </w:rPr>
        <w:t>计税基础。</w:t>
      </w:r>
    </w:p>
    <w:p>
      <w:pPr>
        <w:pStyle w:val="3"/>
        <w:spacing w:before="0" w:line="338" w:lineRule="auto"/>
        <w:ind w:right="1795" w:firstLine="480"/>
        <w:rPr>
          <w:rFonts w:hint="eastAsia" w:ascii="微软雅黑" w:eastAsia="微软雅黑"/>
        </w:rPr>
      </w:pPr>
      <w:r>
        <w:rPr>
          <w:rFonts w:hint="eastAsia" w:ascii="微软雅黑" w:eastAsia="微软雅黑"/>
          <w:color w:val="333333"/>
        </w:rPr>
        <w:t>（2）100%直接控制的母子公司之间，母公司向子公司按账面净值划转其持有的股权或资产,母公司没有获得任何股权或非股权支付。</w:t>
      </w:r>
    </w:p>
    <w:p>
      <w:pPr>
        <w:pStyle w:val="3"/>
        <w:spacing w:line="338" w:lineRule="auto"/>
        <w:ind w:right="1797" w:firstLine="480"/>
        <w:rPr>
          <w:rFonts w:hint="eastAsia" w:ascii="微软雅黑" w:hAnsi="微软雅黑" w:eastAsia="微软雅黑"/>
        </w:rPr>
      </w:pPr>
      <w:r>
        <w:rPr>
          <w:rFonts w:hint="eastAsia" w:ascii="微软雅黑" w:hAnsi="微软雅黑" w:eastAsia="微软雅黑"/>
          <w:color w:val="333333"/>
          <w:spacing w:val="-3"/>
        </w:rPr>
        <w:t>①母公司按冲减实收资本</w:t>
      </w:r>
      <w:r>
        <w:rPr>
          <w:rFonts w:hint="eastAsia" w:ascii="微软雅黑" w:hAnsi="微软雅黑" w:eastAsia="微软雅黑"/>
          <w:color w:val="333333"/>
        </w:rPr>
        <w:t>（</w:t>
      </w:r>
      <w:r>
        <w:rPr>
          <w:rFonts w:hint="eastAsia" w:ascii="微软雅黑" w:hAnsi="微软雅黑" w:eastAsia="微软雅黑"/>
          <w:color w:val="333333"/>
          <w:spacing w:val="-4"/>
        </w:rPr>
        <w:t>包括资本公积，下同</w:t>
      </w:r>
      <w:r>
        <w:rPr>
          <w:rFonts w:hint="eastAsia" w:ascii="微软雅黑" w:hAnsi="微软雅黑" w:eastAsia="微软雅黑"/>
          <w:color w:val="333333"/>
          <w:spacing w:val="-24"/>
        </w:rPr>
        <w:t>）</w:t>
      </w:r>
      <w:r>
        <w:rPr>
          <w:rFonts w:hint="eastAsia" w:ascii="微软雅黑" w:hAnsi="微软雅黑" w:eastAsia="微软雅黑"/>
          <w:color w:val="333333"/>
          <w:spacing w:val="-7"/>
        </w:rPr>
        <w:t>处理，子公司按接受投资</w:t>
      </w:r>
      <w:r>
        <w:rPr>
          <w:rFonts w:hint="eastAsia" w:ascii="微软雅黑" w:hAnsi="微软雅黑" w:eastAsia="微软雅黑"/>
          <w:color w:val="333333"/>
        </w:rPr>
        <w:t>处理。</w:t>
      </w:r>
    </w:p>
    <w:p>
      <w:pPr>
        <w:pStyle w:val="3"/>
        <w:spacing w:before="0"/>
        <w:ind w:left="2280"/>
        <w:rPr>
          <w:rFonts w:hint="eastAsia" w:ascii="微软雅黑" w:hAnsi="微软雅黑" w:eastAsia="微软雅黑"/>
        </w:rPr>
      </w:pPr>
      <w:r>
        <w:rPr>
          <w:rFonts w:hint="eastAsia" w:ascii="微软雅黑" w:hAnsi="微软雅黑" w:eastAsia="微软雅黑"/>
          <w:color w:val="333333"/>
        </w:rPr>
        <w:t>②若不再符合特殊性处理条件的，应当进行以下处理：</w:t>
      </w:r>
    </w:p>
    <w:p>
      <w:pPr>
        <w:pStyle w:val="3"/>
        <w:spacing w:before="182" w:line="338" w:lineRule="auto"/>
        <w:ind w:right="1797" w:firstLine="480"/>
        <w:rPr>
          <w:rFonts w:hint="eastAsia" w:ascii="微软雅黑" w:eastAsia="微软雅黑"/>
        </w:rPr>
      </w:pPr>
      <w:r>
        <w:rPr>
          <w:rFonts w:hint="eastAsia" w:ascii="微软雅黑" w:eastAsia="微软雅黑"/>
          <w:color w:val="333333"/>
          <w:spacing w:val="-5"/>
        </w:rPr>
        <w:t>母公司应按原划转完成时股权或资产的公允价值视同销售处理；子公司按公</w:t>
      </w:r>
      <w:r>
        <w:rPr>
          <w:rFonts w:hint="eastAsia" w:ascii="微软雅黑" w:eastAsia="微软雅黑"/>
          <w:color w:val="333333"/>
        </w:rPr>
        <w:t>允价值确认划入股权或资产的计税基础。</w:t>
      </w:r>
    </w:p>
    <w:p>
      <w:pPr>
        <w:pStyle w:val="3"/>
        <w:spacing w:before="0" w:line="338" w:lineRule="auto"/>
        <w:ind w:right="1795" w:firstLine="480"/>
        <w:rPr>
          <w:rFonts w:hint="eastAsia" w:ascii="微软雅黑" w:eastAsia="微软雅黑"/>
        </w:rPr>
      </w:pPr>
      <w:r>
        <w:rPr>
          <w:rFonts w:hint="eastAsia" w:ascii="微软雅黑" w:eastAsia="微软雅黑"/>
          <w:color w:val="333333"/>
        </w:rPr>
        <w:t>（3）100%直接控制的母子公司之间，子公司向母公司按账面净值划转其持有的股权或资产，子公司没有获得任何股权或非股权支付。</w:t>
      </w:r>
    </w:p>
    <w:p>
      <w:pPr>
        <w:pStyle w:val="3"/>
        <w:spacing w:line="338" w:lineRule="auto"/>
        <w:ind w:right="1677" w:firstLine="480"/>
        <w:rPr>
          <w:rFonts w:hint="eastAsia" w:ascii="微软雅黑" w:hAnsi="微软雅黑" w:eastAsia="微软雅黑"/>
        </w:rPr>
      </w:pPr>
      <w:r>
        <w:rPr>
          <w:rFonts w:hint="eastAsia" w:ascii="微软雅黑" w:hAnsi="微软雅黑" w:eastAsia="微软雅黑"/>
          <w:color w:val="333333"/>
          <w:spacing w:val="-15"/>
        </w:rPr>
        <w:t>①母公司按收回投资处理，或按接受投资处理，子公司按冲减实收资本处理。</w:t>
      </w:r>
      <w:r>
        <w:rPr>
          <w:rFonts w:hint="eastAsia" w:ascii="微软雅黑" w:hAnsi="微软雅黑" w:eastAsia="微软雅黑"/>
          <w:color w:val="333333"/>
          <w:spacing w:val="-5"/>
        </w:rPr>
        <w:t>母公司应按被划转股权或资产的原计税基础，相应调减持有子公司股权的计税基</w:t>
      </w:r>
    </w:p>
    <w:p>
      <w:pPr>
        <w:pStyle w:val="3"/>
        <w:spacing w:before="0"/>
        <w:rPr>
          <w:rFonts w:hint="eastAsia" w:ascii="微软雅黑" w:eastAsia="微软雅黑"/>
        </w:rPr>
      </w:pPr>
      <w:r>
        <w:rPr>
          <w:rFonts w:hint="eastAsia" w:ascii="微软雅黑" w:eastAsia="微软雅黑"/>
          <w:color w:val="333333"/>
        </w:rPr>
        <w:t>础。</w:t>
      </w:r>
    </w:p>
    <w:p>
      <w:pPr>
        <w:spacing w:after="0"/>
        <w:rPr>
          <w:rFonts w:hint="eastAsia" w:ascii="微软雅黑" w:eastAsia="微软雅黑"/>
        </w:rPr>
        <w:sectPr>
          <w:pgSz w:w="11910" w:h="16840"/>
          <w:pgMar w:top="1540" w:right="0" w:bottom="1380" w:left="0" w:header="965" w:footer="1182" w:gutter="0"/>
          <w:cols w:space="720" w:num="1"/>
        </w:sectPr>
      </w:pPr>
    </w:p>
    <w:p>
      <w:pPr>
        <w:pStyle w:val="3"/>
        <w:spacing w:before="11"/>
        <w:ind w:left="0"/>
        <w:rPr>
          <w:rFonts w:ascii="微软雅黑"/>
          <w:sz w:val="10"/>
        </w:rPr>
      </w:pPr>
    </w:p>
    <w:p>
      <w:pPr>
        <w:pStyle w:val="3"/>
        <w:spacing w:before="37"/>
        <w:ind w:left="2280"/>
        <w:rPr>
          <w:rFonts w:hint="eastAsia" w:ascii="微软雅黑" w:hAnsi="微软雅黑" w:eastAsia="微软雅黑"/>
        </w:rPr>
      </w:pPr>
      <w:r>
        <w:rPr>
          <w:rFonts w:hint="eastAsia" w:ascii="微软雅黑" w:hAnsi="微软雅黑" w:eastAsia="微软雅黑"/>
          <w:color w:val="333333"/>
        </w:rPr>
        <w:t>②若不再符合特殊性处理条件的，应当进行以下处理：</w:t>
      </w:r>
    </w:p>
    <w:p>
      <w:pPr>
        <w:pStyle w:val="3"/>
        <w:spacing w:before="182" w:line="338" w:lineRule="auto"/>
        <w:ind w:right="1797" w:firstLine="480"/>
        <w:rPr>
          <w:rFonts w:hint="eastAsia" w:ascii="微软雅黑" w:eastAsia="微软雅黑"/>
        </w:rPr>
      </w:pPr>
      <w:r>
        <w:rPr>
          <w:rFonts w:hint="eastAsia" w:ascii="微软雅黑" w:eastAsia="微软雅黑"/>
          <w:color w:val="333333"/>
          <w:spacing w:val="-5"/>
        </w:rPr>
        <w:t>子公司应按原划转完成时股权或资产的公允价值视同销售处理；母公司应按</w:t>
      </w:r>
      <w:r>
        <w:rPr>
          <w:rFonts w:hint="eastAsia" w:ascii="微软雅黑" w:eastAsia="微软雅黑"/>
          <w:color w:val="333333"/>
        </w:rPr>
        <w:t>撤回或减少投资进行处理。</w:t>
      </w:r>
    </w:p>
    <w:p>
      <w:pPr>
        <w:pStyle w:val="8"/>
        <w:numPr>
          <w:ilvl w:val="0"/>
          <w:numId w:val="47"/>
        </w:numPr>
        <w:tabs>
          <w:tab w:val="left" w:pos="2903"/>
        </w:tabs>
        <w:spacing w:before="0" w:after="0" w:line="338" w:lineRule="auto"/>
        <w:ind w:left="1800" w:right="1795" w:firstLine="480"/>
        <w:jc w:val="both"/>
        <w:rPr>
          <w:sz w:val="24"/>
        </w:rPr>
      </w:pPr>
      <w:r>
        <w:rPr>
          <w:color w:val="333333"/>
          <w:sz w:val="24"/>
        </w:rPr>
        <w:t>受同一或相同多家母公司 100%直接控制的子公司之间，在母公司主</w:t>
      </w:r>
      <w:r>
        <w:rPr>
          <w:color w:val="333333"/>
          <w:spacing w:val="-10"/>
          <w:sz w:val="24"/>
        </w:rPr>
        <w:t>导下，一家子公司向另一家子公司按账面净值划转其持有的股权或资产，划出方</w:t>
      </w:r>
      <w:r>
        <w:rPr>
          <w:color w:val="333333"/>
          <w:sz w:val="24"/>
        </w:rPr>
        <w:t>没有获得任何股权或非股权支付。</w:t>
      </w:r>
    </w:p>
    <w:p>
      <w:pPr>
        <w:pStyle w:val="3"/>
        <w:ind w:left="2280"/>
        <w:rPr>
          <w:rFonts w:hint="eastAsia" w:ascii="微软雅黑" w:hAnsi="微软雅黑" w:eastAsia="微软雅黑"/>
        </w:rPr>
      </w:pPr>
      <w:r>
        <w:rPr>
          <w:rFonts w:hint="eastAsia" w:ascii="微软雅黑" w:hAnsi="微软雅黑" w:eastAsia="微软雅黑"/>
          <w:color w:val="333333"/>
        </w:rPr>
        <w:t>①划出方按冲减所有者权益处理，划入方按接受投资处理。</w:t>
      </w:r>
    </w:p>
    <w:p>
      <w:pPr>
        <w:pStyle w:val="3"/>
        <w:spacing w:before="181"/>
        <w:ind w:left="2280"/>
        <w:rPr>
          <w:rFonts w:hint="eastAsia" w:ascii="微软雅黑" w:hAnsi="微软雅黑" w:eastAsia="微软雅黑"/>
        </w:rPr>
      </w:pPr>
      <w:r>
        <w:rPr>
          <w:rFonts w:hint="eastAsia" w:ascii="微软雅黑" w:hAnsi="微软雅黑" w:eastAsia="微软雅黑"/>
          <w:color w:val="333333"/>
        </w:rPr>
        <w:t>②若不再符合特殊性处理条件的，应当进行以下处理：</w:t>
      </w:r>
    </w:p>
    <w:p>
      <w:pPr>
        <w:pStyle w:val="3"/>
        <w:spacing w:before="182" w:line="338" w:lineRule="auto"/>
        <w:ind w:right="1797" w:firstLine="480"/>
        <w:jc w:val="both"/>
        <w:rPr>
          <w:rFonts w:hint="eastAsia" w:ascii="微软雅黑" w:eastAsia="微软雅黑"/>
        </w:rPr>
      </w:pPr>
      <w:r>
        <w:pict>
          <v:shape id="_x0000_s1066" o:spid="_x0000_s1066" o:spt="136" type="#_x0000_t136" style="position:absolute;left:0pt;margin-left:41.25pt;margin-top:32.6pt;height:132pt;width:528.05pt;mso-position-horizontal-relative:page;rotation:20643840f;z-index:-251615232;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eastAsia="微软雅黑"/>
          <w:color w:val="333333"/>
          <w:spacing w:val="-5"/>
        </w:rPr>
        <w:t>划出方应按原划转完成时股权或资产的公允价值视同销售处理；母公司根据</w:t>
      </w:r>
      <w:r>
        <w:rPr>
          <w:rFonts w:hint="eastAsia" w:ascii="微软雅黑" w:eastAsia="微软雅黑"/>
          <w:color w:val="333333"/>
          <w:spacing w:val="-6"/>
        </w:rPr>
        <w:t>交易情形和会计处理对划出方按分回股息进行处理，或者按撤回或减少投资进行</w:t>
      </w:r>
      <w:r>
        <w:rPr>
          <w:rFonts w:hint="eastAsia" w:ascii="微软雅黑" w:eastAsia="微软雅黑"/>
          <w:color w:val="333333"/>
          <w:spacing w:val="-10"/>
        </w:rPr>
        <w:t>处理，对划入方按以股权或资产的公允价值进行投资处理；划入方按接受母公司</w:t>
      </w:r>
      <w:r>
        <w:rPr>
          <w:rFonts w:hint="eastAsia" w:ascii="微软雅黑" w:eastAsia="微软雅黑"/>
          <w:color w:val="333333"/>
        </w:rPr>
        <w:t>投资处理，以公允价值确认划入股权或资产的计税基础。</w:t>
      </w:r>
    </w:p>
    <w:p>
      <w:pPr>
        <w:pStyle w:val="8"/>
        <w:numPr>
          <w:ilvl w:val="0"/>
          <w:numId w:val="46"/>
        </w:numPr>
        <w:tabs>
          <w:tab w:val="left" w:pos="2481"/>
        </w:tabs>
        <w:spacing w:before="1" w:after="0" w:line="240" w:lineRule="auto"/>
        <w:ind w:left="2480" w:right="0" w:hanging="201"/>
        <w:jc w:val="left"/>
        <w:rPr>
          <w:sz w:val="24"/>
        </w:rPr>
      </w:pPr>
      <w:r>
        <w:rPr>
          <w:color w:val="333333"/>
          <w:sz w:val="24"/>
        </w:rPr>
        <w:t>企业接受划入资产的特殊规定</w:t>
      </w:r>
    </w:p>
    <w:p>
      <w:pPr>
        <w:pStyle w:val="8"/>
        <w:numPr>
          <w:ilvl w:val="0"/>
          <w:numId w:val="48"/>
        </w:numPr>
        <w:tabs>
          <w:tab w:val="left" w:pos="2901"/>
        </w:tabs>
        <w:spacing w:before="182" w:after="0" w:line="240" w:lineRule="auto"/>
        <w:ind w:left="2900" w:right="0" w:hanging="621"/>
        <w:jc w:val="left"/>
        <w:rPr>
          <w:sz w:val="24"/>
        </w:rPr>
      </w:pPr>
      <w:r>
        <w:rPr>
          <w:color w:val="333333"/>
          <w:sz w:val="24"/>
        </w:rPr>
        <w:t>企业接收政府划入资产的企业所得税处理</w:t>
      </w:r>
    </w:p>
    <w:p>
      <w:pPr>
        <w:pStyle w:val="3"/>
        <w:spacing w:before="181" w:line="338" w:lineRule="auto"/>
        <w:ind w:right="1797" w:firstLine="480"/>
        <w:jc w:val="both"/>
        <w:rPr>
          <w:rFonts w:hint="eastAsia" w:ascii="微软雅黑" w:hAnsi="微软雅黑" w:eastAsia="微软雅黑"/>
        </w:rPr>
      </w:pPr>
      <w:r>
        <w:rPr>
          <w:rFonts w:hint="eastAsia" w:ascii="微软雅黑" w:hAnsi="微软雅黑" w:eastAsia="微软雅黑"/>
          <w:color w:val="333333"/>
        </w:rPr>
        <w:t>①县级以上人民政府（包括政府有关部门,下同）将国有资产明确以股权投</w:t>
      </w:r>
      <w:r>
        <w:rPr>
          <w:rFonts w:hint="eastAsia" w:ascii="微软雅黑" w:hAnsi="微软雅黑" w:eastAsia="微软雅黑"/>
          <w:color w:val="333333"/>
          <w:spacing w:val="-5"/>
        </w:rPr>
        <w:t>资方式投入企业，企业应作为国家资本金</w:t>
      </w:r>
      <w:r>
        <w:rPr>
          <w:rFonts w:hint="eastAsia" w:ascii="微软雅黑" w:hAnsi="微软雅黑" w:eastAsia="微软雅黑"/>
          <w:color w:val="333333"/>
        </w:rPr>
        <w:t>（包括资本公积</w:t>
      </w:r>
      <w:r>
        <w:rPr>
          <w:rFonts w:hint="eastAsia" w:ascii="微软雅黑" w:hAnsi="微软雅黑" w:eastAsia="微软雅黑"/>
          <w:color w:val="333333"/>
          <w:spacing w:val="-24"/>
        </w:rPr>
        <w:t>）</w:t>
      </w:r>
      <w:r>
        <w:rPr>
          <w:rFonts w:hint="eastAsia" w:ascii="微软雅黑" w:hAnsi="微软雅黑" w:eastAsia="微软雅黑"/>
          <w:color w:val="333333"/>
          <w:spacing w:val="-7"/>
        </w:rPr>
        <w:t>处理。该项资产如为</w:t>
      </w:r>
      <w:r>
        <w:rPr>
          <w:rFonts w:hint="eastAsia" w:ascii="微软雅黑" w:hAnsi="微软雅黑" w:eastAsia="微软雅黑"/>
          <w:color w:val="333333"/>
        </w:rPr>
        <w:t>非货币性资产，应按政府确定的接收价值确定计税基础。</w:t>
      </w:r>
    </w:p>
    <w:p>
      <w:pPr>
        <w:pStyle w:val="3"/>
        <w:spacing w:line="338" w:lineRule="auto"/>
        <w:ind w:right="1797" w:firstLine="480"/>
        <w:jc w:val="both"/>
        <w:rPr>
          <w:rFonts w:hint="eastAsia" w:ascii="微软雅黑" w:hAnsi="微软雅黑" w:eastAsia="微软雅黑"/>
        </w:rPr>
      </w:pPr>
      <w:r>
        <w:rPr>
          <w:rFonts w:hint="eastAsia" w:ascii="微软雅黑" w:hAnsi="微软雅黑" w:eastAsia="微软雅黑"/>
          <w:color w:val="333333"/>
          <w:spacing w:val="-6"/>
        </w:rPr>
        <w:t>②县级以上人民政府将国有资产无偿划入企业，凡指定专门用途并按专项用</w:t>
      </w:r>
      <w:r>
        <w:rPr>
          <w:rFonts w:hint="eastAsia" w:ascii="微软雅黑" w:hAnsi="微软雅黑" w:eastAsia="微软雅黑"/>
          <w:color w:val="333333"/>
        </w:rPr>
        <w:t>途财政性资金有关规定进行管理的，企业可作为不征税收入进行企业所得税处</w:t>
      </w:r>
      <w:r>
        <w:rPr>
          <w:rFonts w:hint="eastAsia" w:ascii="微软雅黑" w:hAnsi="微软雅黑" w:eastAsia="微软雅黑"/>
          <w:color w:val="333333"/>
          <w:spacing w:val="-12"/>
        </w:rPr>
        <w:t>理。其中，该项资产属于非货币性资产的，应按政府确定的接收价值计算不征税</w:t>
      </w:r>
      <w:r>
        <w:rPr>
          <w:rFonts w:hint="eastAsia" w:ascii="微软雅黑" w:hAnsi="微软雅黑" w:eastAsia="微软雅黑"/>
          <w:color w:val="333333"/>
        </w:rPr>
        <w:t>收入。</w:t>
      </w:r>
    </w:p>
    <w:p>
      <w:pPr>
        <w:spacing w:after="0" w:line="338" w:lineRule="auto"/>
        <w:jc w:val="both"/>
        <w:rPr>
          <w:rFonts w:hint="eastAsia" w:ascii="微软雅黑" w:hAnsi="微软雅黑" w:eastAsia="微软雅黑"/>
        </w:rPr>
        <w:sectPr>
          <w:pgSz w:w="11910" w:h="16840"/>
          <w:pgMar w:top="1540" w:right="0" w:bottom="1380" w:left="0" w:header="965" w:footer="1182" w:gutter="0"/>
          <w:cols w:space="720" w:num="1"/>
        </w:sectPr>
      </w:pPr>
    </w:p>
    <w:p>
      <w:pPr>
        <w:pStyle w:val="3"/>
        <w:spacing w:before="11"/>
        <w:ind w:left="0"/>
        <w:rPr>
          <w:rFonts w:ascii="微软雅黑"/>
          <w:sz w:val="10"/>
        </w:rPr>
      </w:pPr>
    </w:p>
    <w:p>
      <w:pPr>
        <w:pStyle w:val="3"/>
        <w:spacing w:before="37" w:line="338" w:lineRule="auto"/>
        <w:ind w:right="1797" w:firstLine="480"/>
        <w:jc w:val="both"/>
        <w:rPr>
          <w:rFonts w:hint="eastAsia" w:ascii="微软雅黑" w:eastAsia="微软雅黑"/>
        </w:rPr>
      </w:pPr>
      <w:r>
        <w:rPr>
          <w:rFonts w:hint="eastAsia" w:ascii="微软雅黑" w:eastAsia="微软雅黑"/>
          <w:color w:val="333333"/>
          <w:spacing w:val="-6"/>
        </w:rPr>
        <w:t>县级以上人民政府将国有资产无偿划入企业，属于上述项以外情形的，应按</w:t>
      </w:r>
      <w:r>
        <w:rPr>
          <w:rFonts w:hint="eastAsia" w:ascii="微软雅黑" w:eastAsia="微软雅黑"/>
          <w:color w:val="333333"/>
          <w:spacing w:val="-5"/>
        </w:rPr>
        <w:t>政府确定的接收价值计入当期收入总额计算缴纳企业所得税。政府没有确定接收</w:t>
      </w:r>
      <w:r>
        <w:rPr>
          <w:rFonts w:hint="eastAsia" w:ascii="微软雅黑" w:eastAsia="微软雅黑"/>
          <w:color w:val="333333"/>
        </w:rPr>
        <w:t>价值的，按资产的公允价值计算确定应税收入。</w:t>
      </w:r>
    </w:p>
    <w:p>
      <w:pPr>
        <w:pStyle w:val="8"/>
        <w:numPr>
          <w:ilvl w:val="0"/>
          <w:numId w:val="48"/>
        </w:numPr>
        <w:tabs>
          <w:tab w:val="left" w:pos="2901"/>
        </w:tabs>
        <w:spacing w:before="1" w:after="0" w:line="240" w:lineRule="auto"/>
        <w:ind w:left="2900" w:right="0" w:hanging="621"/>
        <w:jc w:val="left"/>
        <w:rPr>
          <w:sz w:val="24"/>
        </w:rPr>
      </w:pPr>
      <w:r>
        <w:rPr>
          <w:color w:val="333333"/>
          <w:sz w:val="24"/>
        </w:rPr>
        <w:t>企业接收股东划入资产的企业所得税处理</w:t>
      </w:r>
    </w:p>
    <w:p>
      <w:pPr>
        <w:pStyle w:val="3"/>
        <w:spacing w:before="181" w:line="338" w:lineRule="auto"/>
        <w:ind w:right="1677" w:firstLine="480"/>
        <w:jc w:val="both"/>
        <w:rPr>
          <w:rFonts w:hint="eastAsia" w:ascii="微软雅黑" w:hAnsi="微软雅黑" w:eastAsia="微软雅黑"/>
        </w:rPr>
      </w:pPr>
      <w:r>
        <w:rPr>
          <w:rFonts w:hint="eastAsia" w:ascii="微软雅黑" w:hAnsi="微软雅黑" w:eastAsia="微软雅黑"/>
          <w:color w:val="333333"/>
        </w:rPr>
        <w:t>①企业接收股东划入资产（包括股东赠予资产、上市公司在股权分置改革过程中接收原非流通股股东和新非流通股股东赠予的资产、股东放弃本企业的股权，下同），凡合同、协议约定作为资本金（包括资本公积）且在会计上已做实际处理的，不计入企业的收入总额，企业应按公允价值确定该项资产的计税基础。</w:t>
      </w:r>
    </w:p>
    <w:p>
      <w:pPr>
        <w:pStyle w:val="3"/>
        <w:spacing w:line="338" w:lineRule="auto"/>
        <w:ind w:right="1677" w:firstLine="480"/>
        <w:rPr>
          <w:rFonts w:hint="eastAsia" w:ascii="微软雅黑" w:hAnsi="微软雅黑" w:eastAsia="微软雅黑"/>
        </w:rPr>
      </w:pPr>
      <w:r>
        <w:pict>
          <v:shape id="_x0000_s1067" o:spid="_x0000_s1067" o:spt="136" type="#_x0000_t136" style="position:absolute;left:0pt;margin-left:41.25pt;margin-top:23.55pt;height:132pt;width:528.05pt;mso-position-horizontal-relative:page;rotation:20643840f;z-index:-251614208;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hAnsi="微软雅黑" w:eastAsia="微软雅黑"/>
          <w:color w:val="333333"/>
          <w:spacing w:val="-15"/>
        </w:rPr>
        <w:t xml:space="preserve">②企业接收股东划入资产，凡作为收入处理的，应按公允价值计入收入总额， </w:t>
      </w:r>
      <w:r>
        <w:rPr>
          <w:rFonts w:hint="eastAsia" w:ascii="微软雅黑" w:hAnsi="微软雅黑" w:eastAsia="微软雅黑"/>
          <w:color w:val="333333"/>
        </w:rPr>
        <w:t>计算缴纳企业所得税，同时按公允价值确定该项资产的计税基础。</w:t>
      </w:r>
    </w:p>
    <w:p>
      <w:pPr>
        <w:spacing w:before="1"/>
        <w:ind w:left="2280" w:right="0" w:firstLine="0"/>
        <w:jc w:val="left"/>
        <w:rPr>
          <w:rFonts w:hint="eastAsia" w:ascii="微软雅黑" w:eastAsia="微软雅黑"/>
          <w:b/>
          <w:sz w:val="24"/>
        </w:rPr>
      </w:pPr>
      <w:r>
        <w:rPr>
          <w:rFonts w:hint="eastAsia" w:ascii="微软雅黑" w:eastAsia="微软雅黑"/>
          <w:b/>
          <w:color w:val="333333"/>
          <w:sz w:val="24"/>
        </w:rPr>
        <w:t>【适用条件】</w:t>
      </w:r>
    </w:p>
    <w:p>
      <w:pPr>
        <w:pStyle w:val="3"/>
        <w:spacing w:before="181" w:line="338" w:lineRule="auto"/>
        <w:ind w:right="1792" w:firstLine="480"/>
        <w:jc w:val="both"/>
        <w:rPr>
          <w:rFonts w:hint="eastAsia" w:ascii="微软雅黑" w:eastAsia="微软雅黑"/>
        </w:rPr>
      </w:pPr>
      <w:r>
        <w:rPr>
          <w:rFonts w:hint="eastAsia" w:ascii="微软雅黑" w:eastAsia="微软雅黑"/>
          <w:color w:val="333333"/>
          <w:spacing w:val="-6"/>
        </w:rPr>
        <w:t xml:space="preserve">对 </w:t>
      </w:r>
      <w:r>
        <w:rPr>
          <w:rFonts w:hint="eastAsia" w:ascii="微软雅黑" w:eastAsia="微软雅黑"/>
          <w:color w:val="333333"/>
        </w:rPr>
        <w:t>100</w:t>
      </w:r>
      <w:r>
        <w:rPr>
          <w:rFonts w:hint="eastAsia" w:ascii="微软雅黑" w:eastAsia="微软雅黑"/>
          <w:color w:val="333333"/>
          <w:spacing w:val="-5"/>
        </w:rPr>
        <w:t xml:space="preserve">%直接控制的居民企业之间，以及受同一或相同多家居民企业 </w:t>
      </w:r>
      <w:r>
        <w:rPr>
          <w:rFonts w:hint="eastAsia" w:ascii="微软雅黑" w:eastAsia="微软雅黑"/>
          <w:color w:val="333333"/>
        </w:rPr>
        <w:t xml:space="preserve">100% </w:t>
      </w:r>
      <w:r>
        <w:rPr>
          <w:rFonts w:hint="eastAsia" w:ascii="微软雅黑" w:eastAsia="微软雅黑"/>
          <w:color w:val="333333"/>
          <w:spacing w:val="-6"/>
        </w:rPr>
        <w:t>直接控制的居民企业之间的资产划转，同时符合以下条件的，可选择采用特殊性</w:t>
      </w:r>
      <w:r>
        <w:rPr>
          <w:rFonts w:hint="eastAsia" w:ascii="微软雅黑" w:eastAsia="微软雅黑"/>
          <w:color w:val="333333"/>
        </w:rPr>
        <w:t>税务处理：</w:t>
      </w:r>
    </w:p>
    <w:p>
      <w:pPr>
        <w:pStyle w:val="8"/>
        <w:numPr>
          <w:ilvl w:val="0"/>
          <w:numId w:val="49"/>
        </w:numPr>
        <w:tabs>
          <w:tab w:val="left" w:pos="2481"/>
        </w:tabs>
        <w:spacing w:before="1" w:after="0" w:line="240" w:lineRule="auto"/>
        <w:ind w:left="2480" w:right="0" w:hanging="201"/>
        <w:jc w:val="left"/>
        <w:rPr>
          <w:sz w:val="24"/>
        </w:rPr>
      </w:pPr>
      <w:r>
        <w:rPr>
          <w:color w:val="333333"/>
          <w:sz w:val="24"/>
        </w:rPr>
        <w:t>企业之间按账面净值划转股权或资产；</w:t>
      </w:r>
    </w:p>
    <w:p>
      <w:pPr>
        <w:pStyle w:val="8"/>
        <w:numPr>
          <w:ilvl w:val="0"/>
          <w:numId w:val="49"/>
        </w:numPr>
        <w:tabs>
          <w:tab w:val="left" w:pos="2481"/>
        </w:tabs>
        <w:spacing w:before="182" w:after="0" w:line="240" w:lineRule="auto"/>
        <w:ind w:left="2480" w:right="0" w:hanging="201"/>
        <w:jc w:val="left"/>
        <w:rPr>
          <w:sz w:val="24"/>
        </w:rPr>
      </w:pPr>
      <w:r>
        <w:rPr>
          <w:color w:val="333333"/>
          <w:sz w:val="24"/>
        </w:rPr>
        <w:t>具有合理商业目的；</w:t>
      </w:r>
    </w:p>
    <w:p>
      <w:pPr>
        <w:pStyle w:val="8"/>
        <w:numPr>
          <w:ilvl w:val="0"/>
          <w:numId w:val="49"/>
        </w:numPr>
        <w:tabs>
          <w:tab w:val="left" w:pos="2481"/>
        </w:tabs>
        <w:spacing w:before="181" w:after="0" w:line="240" w:lineRule="auto"/>
        <w:ind w:left="2480" w:right="0" w:hanging="201"/>
        <w:jc w:val="left"/>
        <w:rPr>
          <w:sz w:val="24"/>
        </w:rPr>
      </w:pPr>
      <w:r>
        <w:rPr>
          <w:color w:val="333333"/>
          <w:sz w:val="24"/>
        </w:rPr>
        <w:t>不以减少、免除或者推迟缴纳税款为主要目的；</w:t>
      </w:r>
    </w:p>
    <w:p>
      <w:pPr>
        <w:pStyle w:val="8"/>
        <w:numPr>
          <w:ilvl w:val="0"/>
          <w:numId w:val="49"/>
        </w:numPr>
        <w:tabs>
          <w:tab w:val="left" w:pos="2481"/>
        </w:tabs>
        <w:spacing w:before="182" w:after="0" w:line="338" w:lineRule="auto"/>
        <w:ind w:left="1800" w:right="1795" w:firstLine="480"/>
        <w:jc w:val="both"/>
        <w:rPr>
          <w:sz w:val="24"/>
        </w:rPr>
      </w:pPr>
      <w:r>
        <w:rPr>
          <w:color w:val="333333"/>
          <w:spacing w:val="-3"/>
          <w:sz w:val="24"/>
        </w:rPr>
        <w:t>自股权或资产划转日</w:t>
      </w:r>
      <w:r>
        <w:rPr>
          <w:color w:val="333333"/>
          <w:sz w:val="24"/>
        </w:rPr>
        <w:t>（</w:t>
      </w:r>
      <w:r>
        <w:rPr>
          <w:color w:val="333333"/>
          <w:spacing w:val="-4"/>
          <w:sz w:val="24"/>
        </w:rPr>
        <w:t>股权或资产划转协议或批复生效，且交易双方已进</w:t>
      </w:r>
      <w:r>
        <w:rPr>
          <w:color w:val="333333"/>
          <w:sz w:val="24"/>
        </w:rPr>
        <w:t>行会计处理的日期</w:t>
      </w:r>
      <w:r>
        <w:rPr>
          <w:color w:val="333333"/>
          <w:spacing w:val="-8"/>
          <w:sz w:val="24"/>
        </w:rPr>
        <w:t>）</w:t>
      </w:r>
      <w:r>
        <w:rPr>
          <w:color w:val="333333"/>
          <w:spacing w:val="-5"/>
          <w:sz w:val="24"/>
        </w:rPr>
        <w:t xml:space="preserve">起，连续 </w:t>
      </w:r>
      <w:r>
        <w:rPr>
          <w:color w:val="333333"/>
          <w:sz w:val="24"/>
        </w:rPr>
        <w:t>12</w:t>
      </w:r>
      <w:r>
        <w:rPr>
          <w:color w:val="333333"/>
          <w:spacing w:val="-5"/>
          <w:sz w:val="24"/>
        </w:rPr>
        <w:t xml:space="preserve"> 个月内不改变被划转股权或资产原来实质性经</w:t>
      </w:r>
      <w:r>
        <w:rPr>
          <w:color w:val="333333"/>
          <w:sz w:val="24"/>
        </w:rPr>
        <w:t>营活动；</w:t>
      </w:r>
    </w:p>
    <w:p>
      <w:pPr>
        <w:pStyle w:val="8"/>
        <w:numPr>
          <w:ilvl w:val="0"/>
          <w:numId w:val="49"/>
        </w:numPr>
        <w:tabs>
          <w:tab w:val="left" w:pos="2481"/>
        </w:tabs>
        <w:spacing w:before="1" w:after="0" w:line="240" w:lineRule="auto"/>
        <w:ind w:left="2480" w:right="0" w:hanging="201"/>
        <w:jc w:val="left"/>
        <w:rPr>
          <w:sz w:val="24"/>
        </w:rPr>
      </w:pPr>
      <w:r>
        <w:rPr>
          <w:color w:val="333333"/>
          <w:sz w:val="24"/>
        </w:rPr>
        <w:t>划出方企业和划入方企业均未在会计上确认损益。</w:t>
      </w:r>
    </w:p>
    <w:p>
      <w:pPr>
        <w:spacing w:before="181"/>
        <w:ind w:left="2280" w:right="0" w:firstLine="0"/>
        <w:jc w:val="left"/>
        <w:rPr>
          <w:rFonts w:hint="eastAsia" w:ascii="微软雅黑" w:eastAsia="微软雅黑"/>
          <w:b/>
          <w:sz w:val="24"/>
        </w:rPr>
      </w:pPr>
      <w:r>
        <w:rPr>
          <w:rFonts w:hint="eastAsia" w:ascii="微软雅黑" w:eastAsia="微软雅黑"/>
          <w:b/>
          <w:color w:val="333333"/>
          <w:sz w:val="24"/>
        </w:rPr>
        <w:t>【备案资料】</w:t>
      </w:r>
    </w:p>
    <w:p>
      <w:pPr>
        <w:spacing w:after="0"/>
        <w:jc w:val="left"/>
        <w:rPr>
          <w:rFonts w:hint="eastAsia" w:ascii="微软雅黑" w:eastAsia="微软雅黑"/>
          <w:sz w:val="24"/>
        </w:rPr>
        <w:sectPr>
          <w:pgSz w:w="11910" w:h="16840"/>
          <w:pgMar w:top="1540" w:right="0" w:bottom="1380" w:left="0" w:header="965" w:footer="1182" w:gutter="0"/>
          <w:cols w:space="720" w:num="1"/>
        </w:sectPr>
      </w:pPr>
    </w:p>
    <w:p>
      <w:pPr>
        <w:pStyle w:val="3"/>
        <w:spacing w:before="11"/>
        <w:ind w:left="0"/>
        <w:rPr>
          <w:rFonts w:ascii="微软雅黑"/>
          <w:b/>
          <w:sz w:val="10"/>
        </w:rPr>
      </w:pPr>
    </w:p>
    <w:p>
      <w:pPr>
        <w:pStyle w:val="3"/>
        <w:spacing w:before="37"/>
        <w:ind w:left="2280"/>
        <w:rPr>
          <w:rFonts w:hint="eastAsia" w:ascii="微软雅黑" w:eastAsia="微软雅黑"/>
        </w:rPr>
      </w:pPr>
      <w:r>
        <w:rPr>
          <w:rFonts w:hint="eastAsia" w:ascii="微软雅黑" w:eastAsia="微软雅黑"/>
          <w:color w:val="333333"/>
        </w:rPr>
        <w:t>1.适用特殊性税务处理应报送的资料包括：</w:t>
      </w:r>
    </w:p>
    <w:p>
      <w:pPr>
        <w:pStyle w:val="3"/>
        <w:spacing w:before="182" w:line="338" w:lineRule="auto"/>
        <w:ind w:right="1705" w:firstLine="480"/>
        <w:rPr>
          <w:rFonts w:hint="eastAsia" w:ascii="微软雅黑" w:eastAsia="微软雅黑"/>
        </w:rPr>
      </w:pPr>
      <w:r>
        <w:rPr>
          <w:rFonts w:hint="eastAsia" w:ascii="微软雅黑" w:eastAsia="微软雅黑"/>
          <w:color w:val="333333"/>
        </w:rPr>
        <w:t>汇算清缴时，交易双方应分别向各自税务机关报送《居民企业资产（股权） 划转特殊性税务处理申报表》与以下相关资料：</w:t>
      </w:r>
    </w:p>
    <w:p>
      <w:pPr>
        <w:pStyle w:val="8"/>
        <w:numPr>
          <w:ilvl w:val="0"/>
          <w:numId w:val="50"/>
        </w:numPr>
        <w:tabs>
          <w:tab w:val="left" w:pos="2903"/>
        </w:tabs>
        <w:spacing w:before="0" w:after="0" w:line="338" w:lineRule="auto"/>
        <w:ind w:left="1800" w:right="1797" w:firstLine="480"/>
        <w:jc w:val="left"/>
        <w:rPr>
          <w:sz w:val="24"/>
        </w:rPr>
      </w:pPr>
      <w:r>
        <w:rPr>
          <w:color w:val="333333"/>
          <w:spacing w:val="-1"/>
          <w:sz w:val="24"/>
        </w:rPr>
        <w:t>股权或资产划转总体情况说明，包括基本情况、划转方案等，并详细</w:t>
      </w:r>
      <w:r>
        <w:rPr>
          <w:color w:val="333333"/>
          <w:sz w:val="24"/>
        </w:rPr>
        <w:t>说明划转的商业目的；</w:t>
      </w:r>
    </w:p>
    <w:p>
      <w:pPr>
        <w:pStyle w:val="8"/>
        <w:numPr>
          <w:ilvl w:val="0"/>
          <w:numId w:val="50"/>
        </w:numPr>
        <w:tabs>
          <w:tab w:val="left" w:pos="2901"/>
        </w:tabs>
        <w:spacing w:before="0" w:after="0" w:line="338" w:lineRule="auto"/>
        <w:ind w:left="1800" w:right="1797" w:firstLine="480"/>
        <w:jc w:val="left"/>
        <w:rPr>
          <w:sz w:val="24"/>
        </w:rPr>
      </w:pPr>
      <w:r>
        <w:rPr>
          <w:color w:val="333333"/>
          <w:spacing w:val="-3"/>
          <w:sz w:val="24"/>
        </w:rPr>
        <w:t>交易双方或多方签订的股权或资产划转合同</w:t>
      </w:r>
      <w:r>
        <w:rPr>
          <w:color w:val="333333"/>
          <w:sz w:val="24"/>
        </w:rPr>
        <w:t>（协议</w:t>
      </w:r>
      <w:r>
        <w:rPr>
          <w:color w:val="333333"/>
          <w:spacing w:val="-48"/>
          <w:sz w:val="24"/>
        </w:rPr>
        <w:t>），</w:t>
      </w:r>
      <w:r>
        <w:rPr>
          <w:color w:val="333333"/>
          <w:spacing w:val="-10"/>
          <w:sz w:val="24"/>
        </w:rPr>
        <w:t>需有权部门</w:t>
      </w:r>
      <w:r>
        <w:rPr>
          <w:color w:val="333333"/>
          <w:sz w:val="24"/>
        </w:rPr>
        <w:t xml:space="preserve">（ </w:t>
      </w:r>
      <w:r>
        <w:rPr>
          <w:color w:val="333333"/>
          <w:spacing w:val="-4"/>
          <w:sz w:val="24"/>
        </w:rPr>
        <w:t>包括内部和外部</w:t>
      </w:r>
      <w:r>
        <w:rPr>
          <w:color w:val="333333"/>
          <w:sz w:val="24"/>
        </w:rPr>
        <w:t>）批准的，应提供批准文件；</w:t>
      </w:r>
    </w:p>
    <w:p>
      <w:pPr>
        <w:pStyle w:val="8"/>
        <w:numPr>
          <w:ilvl w:val="0"/>
          <w:numId w:val="50"/>
        </w:numPr>
        <w:tabs>
          <w:tab w:val="left" w:pos="2901"/>
        </w:tabs>
        <w:spacing w:before="1" w:after="0" w:line="240" w:lineRule="auto"/>
        <w:ind w:left="2900" w:right="0" w:hanging="621"/>
        <w:jc w:val="left"/>
        <w:rPr>
          <w:sz w:val="24"/>
        </w:rPr>
      </w:pPr>
      <w:r>
        <w:rPr>
          <w:color w:val="333333"/>
          <w:sz w:val="24"/>
        </w:rPr>
        <w:t>被划转股权或资产账面净值和计税基础说明；</w:t>
      </w:r>
    </w:p>
    <w:p>
      <w:pPr>
        <w:pStyle w:val="8"/>
        <w:numPr>
          <w:ilvl w:val="0"/>
          <w:numId w:val="50"/>
        </w:numPr>
        <w:tabs>
          <w:tab w:val="left" w:pos="2901"/>
        </w:tabs>
        <w:spacing w:before="182" w:after="0" w:line="240" w:lineRule="auto"/>
        <w:ind w:left="2900" w:right="0" w:hanging="621"/>
        <w:jc w:val="left"/>
        <w:rPr>
          <w:sz w:val="24"/>
        </w:rPr>
      </w:pPr>
      <w:r>
        <w:pict>
          <v:shape id="_x0000_s1068" o:spid="_x0000_s1068" o:spt="136" type="#_x0000_t136" style="position:absolute;left:0pt;margin-left:41.25pt;margin-top:32.6pt;height:132pt;width:528.05pt;mso-position-horizontal-relative:page;rotation:20643840f;z-index:-251613184;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color w:val="333333"/>
          <w:sz w:val="24"/>
        </w:rPr>
        <w:t>交易双方按账面净值划转股权或资产的说明（需附会计处理资料）；</w:t>
      </w:r>
    </w:p>
    <w:p>
      <w:pPr>
        <w:pStyle w:val="8"/>
        <w:numPr>
          <w:ilvl w:val="0"/>
          <w:numId w:val="50"/>
        </w:numPr>
        <w:tabs>
          <w:tab w:val="left" w:pos="2901"/>
        </w:tabs>
        <w:spacing w:before="181" w:after="0" w:line="240" w:lineRule="auto"/>
        <w:ind w:left="2900" w:right="0" w:hanging="621"/>
        <w:jc w:val="left"/>
        <w:rPr>
          <w:sz w:val="24"/>
        </w:rPr>
      </w:pPr>
      <w:r>
        <w:rPr>
          <w:color w:val="333333"/>
          <w:sz w:val="24"/>
        </w:rPr>
        <w:t>交易双方均未在会计上确认损益的说明（需附会计处理资料）；</w:t>
      </w:r>
    </w:p>
    <w:p>
      <w:pPr>
        <w:pStyle w:val="3"/>
        <w:spacing w:before="182" w:line="338" w:lineRule="auto"/>
        <w:ind w:left="2280" w:right="1727"/>
        <w:rPr>
          <w:rFonts w:hint="eastAsia" w:ascii="微软雅黑" w:eastAsia="微软雅黑"/>
        </w:rPr>
      </w:pPr>
      <w:r>
        <w:rPr>
          <w:rFonts w:hint="eastAsia" w:ascii="微软雅黑" w:eastAsia="微软雅黑"/>
          <w:color w:val="333333"/>
        </w:rPr>
        <w:t>（6）12 个月内不改变被划转股权或资产原来实质性经营活动的承诺书。2.交易双方应在股权或资产划转完成后的下一年度的企业所得税年度申报</w:t>
      </w:r>
    </w:p>
    <w:p>
      <w:pPr>
        <w:pStyle w:val="3"/>
        <w:spacing w:before="0" w:line="338" w:lineRule="auto"/>
        <w:ind w:right="1797"/>
        <w:rPr>
          <w:rFonts w:hint="eastAsia" w:ascii="微软雅黑" w:eastAsia="微软雅黑"/>
        </w:rPr>
      </w:pPr>
      <w:r>
        <w:rPr>
          <w:rFonts w:hint="eastAsia" w:ascii="微软雅黑" w:eastAsia="微软雅黑"/>
          <w:color w:val="333333"/>
          <w:spacing w:val="-10"/>
        </w:rPr>
        <w:t>时，各自向主管税务机关提交书面情况说明，以证明被划转股权或资产自划转完</w:t>
      </w:r>
      <w:r>
        <w:rPr>
          <w:rFonts w:hint="eastAsia" w:ascii="微软雅黑" w:eastAsia="微软雅黑"/>
          <w:color w:val="333333"/>
          <w:spacing w:val="-2"/>
        </w:rPr>
        <w:t xml:space="preserve">成日后连续 </w:t>
      </w:r>
      <w:r>
        <w:rPr>
          <w:rFonts w:hint="eastAsia" w:ascii="微软雅黑" w:eastAsia="微软雅黑"/>
          <w:color w:val="333333"/>
        </w:rPr>
        <w:t>12</w:t>
      </w:r>
      <w:r>
        <w:rPr>
          <w:rFonts w:hint="eastAsia" w:ascii="微软雅黑" w:eastAsia="微软雅黑"/>
          <w:color w:val="333333"/>
          <w:spacing w:val="-4"/>
        </w:rPr>
        <w:t xml:space="preserve"> 个月内，没有改变原来的实质性经营活动。</w:t>
      </w:r>
    </w:p>
    <w:p>
      <w:pPr>
        <w:pStyle w:val="3"/>
        <w:spacing w:line="338" w:lineRule="auto"/>
        <w:ind w:right="1797" w:firstLine="480"/>
        <w:jc w:val="both"/>
        <w:rPr>
          <w:rFonts w:hint="eastAsia" w:ascii="微软雅黑" w:eastAsia="微软雅黑"/>
        </w:rPr>
      </w:pPr>
      <w:r>
        <w:rPr>
          <w:rFonts w:hint="eastAsia" w:ascii="微软雅黑" w:eastAsia="微软雅黑"/>
          <w:color w:val="333333"/>
        </w:rPr>
        <w:t>3</w:t>
      </w:r>
      <w:r>
        <w:rPr>
          <w:rFonts w:hint="eastAsia" w:ascii="微软雅黑" w:eastAsia="微软雅黑"/>
          <w:color w:val="333333"/>
          <w:spacing w:val="-1"/>
        </w:rPr>
        <w:t xml:space="preserve">.交易一方在股权或资产划转完成日后连续 </w:t>
      </w:r>
      <w:r>
        <w:rPr>
          <w:rFonts w:hint="eastAsia" w:ascii="微软雅黑" w:eastAsia="微软雅黑"/>
          <w:color w:val="333333"/>
        </w:rPr>
        <w:t>12</w:t>
      </w:r>
      <w:r>
        <w:rPr>
          <w:rFonts w:hint="eastAsia" w:ascii="微软雅黑" w:eastAsia="微软雅黑"/>
          <w:color w:val="333333"/>
          <w:spacing w:val="-2"/>
        </w:rPr>
        <w:t xml:space="preserve"> 个月内发生生产经营业务、</w:t>
      </w:r>
      <w:r>
        <w:rPr>
          <w:rFonts w:hint="eastAsia" w:ascii="微软雅黑" w:eastAsia="微软雅黑"/>
          <w:color w:val="333333"/>
          <w:spacing w:val="-12"/>
        </w:rPr>
        <w:t>公司性质、资产或股权结构等情况变化，致使股权或资产划转不再符合特殊性税</w:t>
      </w:r>
      <w:r>
        <w:rPr>
          <w:rFonts w:hint="eastAsia" w:ascii="微软雅黑" w:eastAsia="微软雅黑"/>
          <w:color w:val="333333"/>
          <w:spacing w:val="-4"/>
        </w:rPr>
        <w:t xml:space="preserve">务处理条件的，发生变化的交易一方应在情况发生变化的 </w:t>
      </w:r>
      <w:r>
        <w:rPr>
          <w:rFonts w:hint="eastAsia" w:ascii="微软雅黑" w:eastAsia="微软雅黑"/>
          <w:color w:val="333333"/>
        </w:rPr>
        <w:t>30</w:t>
      </w:r>
      <w:r>
        <w:rPr>
          <w:rFonts w:hint="eastAsia" w:ascii="微软雅黑" w:eastAsia="微软雅黑"/>
          <w:color w:val="333333"/>
          <w:spacing w:val="-6"/>
        </w:rPr>
        <w:t xml:space="preserve"> 日内报告其主管税</w:t>
      </w:r>
    </w:p>
    <w:p>
      <w:pPr>
        <w:pStyle w:val="3"/>
        <w:spacing w:line="338" w:lineRule="auto"/>
        <w:ind w:right="1797"/>
        <w:jc w:val="both"/>
        <w:rPr>
          <w:rFonts w:hint="eastAsia" w:ascii="微软雅黑" w:eastAsia="微软雅黑"/>
        </w:rPr>
      </w:pPr>
      <w:r>
        <w:rPr>
          <w:rFonts w:hint="eastAsia" w:ascii="微软雅黑" w:eastAsia="微软雅黑"/>
          <w:color w:val="333333"/>
          <w:spacing w:val="-4"/>
        </w:rPr>
        <w:t xml:space="preserve">务机关，同时书面通知另一方。另一方应在接到通知后 </w:t>
      </w:r>
      <w:r>
        <w:rPr>
          <w:rFonts w:hint="eastAsia" w:ascii="微软雅黑" w:eastAsia="微软雅黑"/>
          <w:color w:val="333333"/>
        </w:rPr>
        <w:t>30</w:t>
      </w:r>
      <w:r>
        <w:rPr>
          <w:rFonts w:hint="eastAsia" w:ascii="微软雅黑" w:eastAsia="微软雅黑"/>
          <w:color w:val="333333"/>
          <w:spacing w:val="-5"/>
        </w:rPr>
        <w:t xml:space="preserve"> 日内将有关变化报告</w:t>
      </w:r>
      <w:r>
        <w:rPr>
          <w:rFonts w:hint="eastAsia" w:ascii="微软雅黑" w:eastAsia="微软雅黑"/>
          <w:color w:val="333333"/>
        </w:rPr>
        <w:t>其主管税务机关。</w:t>
      </w:r>
    </w:p>
    <w:p>
      <w:pPr>
        <w:spacing w:before="0"/>
        <w:ind w:left="2280" w:right="0" w:firstLine="0"/>
        <w:jc w:val="left"/>
        <w:rPr>
          <w:rFonts w:hint="eastAsia" w:ascii="微软雅黑" w:eastAsia="微软雅黑"/>
          <w:b/>
          <w:sz w:val="24"/>
        </w:rPr>
      </w:pPr>
      <w:r>
        <w:rPr>
          <w:rFonts w:hint="eastAsia" w:ascii="微软雅黑" w:eastAsia="微软雅黑"/>
          <w:b/>
          <w:color w:val="333333"/>
          <w:sz w:val="24"/>
        </w:rPr>
        <w:t>【政策依据】</w:t>
      </w:r>
    </w:p>
    <w:p>
      <w:pPr>
        <w:pStyle w:val="8"/>
        <w:numPr>
          <w:ilvl w:val="0"/>
          <w:numId w:val="51"/>
        </w:numPr>
        <w:tabs>
          <w:tab w:val="left" w:pos="2484"/>
        </w:tabs>
        <w:spacing w:before="4" w:after="0" w:line="620" w:lineRule="atLeast"/>
        <w:ind w:left="1800" w:right="1797" w:firstLine="480"/>
        <w:jc w:val="left"/>
        <w:rPr>
          <w:sz w:val="24"/>
        </w:rPr>
      </w:pPr>
      <w:r>
        <w:fldChar w:fldCharType="begin"/>
      </w:r>
      <w:r>
        <w:instrText xml:space="preserve"> HYPERLINK \l "_bookmark20" </w:instrText>
      </w:r>
      <w:r>
        <w:fldChar w:fldCharType="separate"/>
      </w:r>
      <w:r>
        <w:rPr>
          <w:color w:val="0000FF"/>
          <w:spacing w:val="7"/>
          <w:sz w:val="24"/>
          <w:u w:val="single" w:color="0000FF"/>
        </w:rPr>
        <w:t>《</w:t>
      </w:r>
      <w:r>
        <w:rPr>
          <w:color w:val="0000FF"/>
          <w:spacing w:val="7"/>
          <w:sz w:val="24"/>
          <w:u w:val="single" w:color="0000FF"/>
        </w:rPr>
        <w:fldChar w:fldCharType="end"/>
      </w:r>
      <w:r>
        <w:fldChar w:fldCharType="begin"/>
      </w:r>
      <w:r>
        <w:instrText xml:space="preserve"> HYPERLINK \l "_bookmark20" </w:instrText>
      </w:r>
      <w:r>
        <w:fldChar w:fldCharType="separate"/>
      </w:r>
      <w:r>
        <w:rPr>
          <w:color w:val="0000FF"/>
          <w:spacing w:val="3"/>
          <w:sz w:val="24"/>
          <w:u w:val="single" w:color="0000FF"/>
        </w:rPr>
        <w:t>财政部国家税务总局关于促进企业重组有关企业所得税处理问题的通</w:t>
      </w:r>
      <w:r>
        <w:rPr>
          <w:color w:val="0000FF"/>
          <w:spacing w:val="3"/>
          <w:sz w:val="24"/>
          <w:u w:val="single" w:color="0000FF"/>
        </w:rPr>
        <w:fldChar w:fldCharType="end"/>
      </w:r>
      <w:r>
        <w:rPr>
          <w:color w:val="0000FF"/>
          <w:spacing w:val="-231"/>
          <w:sz w:val="24"/>
          <w:u w:val="single" w:color="0000FF"/>
        </w:rPr>
        <w:t>知》</w:t>
      </w:r>
      <w:r>
        <w:rPr>
          <w:color w:val="0000FF"/>
          <w:sz w:val="24"/>
          <w:u w:val="single" w:color="0000FF"/>
        </w:rPr>
        <w:t>（财税〔2014〕109</w:t>
      </w:r>
      <w:r>
        <w:rPr>
          <w:color w:val="0000FF"/>
          <w:spacing w:val="-7"/>
          <w:sz w:val="24"/>
          <w:u w:val="single" w:color="0000FF"/>
        </w:rPr>
        <w:t xml:space="preserve"> 号</w:t>
      </w:r>
      <w:r>
        <w:rPr>
          <w:color w:val="0000FF"/>
          <w:sz w:val="24"/>
          <w:u w:val="single" w:color="0000FF"/>
        </w:rPr>
        <w:t>）</w:t>
      </w:r>
    </w:p>
    <w:p>
      <w:pPr>
        <w:spacing w:after="0" w:line="620" w:lineRule="atLeast"/>
        <w:jc w:val="left"/>
        <w:rPr>
          <w:sz w:val="24"/>
        </w:rPr>
        <w:sectPr>
          <w:pgSz w:w="11910" w:h="16840"/>
          <w:pgMar w:top="1540" w:right="0" w:bottom="1380" w:left="0" w:header="965" w:footer="1182" w:gutter="0"/>
          <w:cols w:space="720" w:num="1"/>
        </w:sectPr>
      </w:pPr>
    </w:p>
    <w:p>
      <w:pPr>
        <w:pStyle w:val="3"/>
        <w:spacing w:before="11"/>
        <w:ind w:left="0"/>
        <w:rPr>
          <w:rFonts w:ascii="微软雅黑"/>
          <w:sz w:val="10"/>
        </w:rPr>
      </w:pPr>
    </w:p>
    <w:p>
      <w:pPr>
        <w:pStyle w:val="8"/>
        <w:numPr>
          <w:ilvl w:val="0"/>
          <w:numId w:val="51"/>
        </w:numPr>
        <w:tabs>
          <w:tab w:val="left" w:pos="2481"/>
        </w:tabs>
        <w:spacing w:before="37" w:after="0" w:line="338" w:lineRule="auto"/>
        <w:ind w:left="1800" w:right="1795" w:firstLine="480"/>
        <w:jc w:val="left"/>
        <w:rPr>
          <w:sz w:val="24"/>
        </w:rPr>
      </w:pPr>
      <w:r>
        <w:fldChar w:fldCharType="begin"/>
      </w:r>
      <w:r>
        <w:instrText xml:space="preserve"> HYPERLINK \l "_bookmark22" </w:instrText>
      </w:r>
      <w:r>
        <w:fldChar w:fldCharType="separate"/>
      </w:r>
      <w:r>
        <w:rPr>
          <w:color w:val="0000FF"/>
          <w:spacing w:val="-1"/>
          <w:sz w:val="24"/>
          <w:u w:val="single" w:color="0000FF"/>
        </w:rPr>
        <w:t>《国家税务总局关于资产</w:t>
      </w:r>
      <w:r>
        <w:rPr>
          <w:color w:val="0000FF"/>
          <w:spacing w:val="-1"/>
          <w:sz w:val="24"/>
          <w:u w:val="single" w:color="0000FF"/>
        </w:rPr>
        <w:fldChar w:fldCharType="end"/>
      </w:r>
      <w:r>
        <w:fldChar w:fldCharType="begin"/>
      </w:r>
      <w:r>
        <w:instrText xml:space="preserve"> HYPERLINK \l "_bookmark22" </w:instrText>
      </w:r>
      <w:r>
        <w:fldChar w:fldCharType="separate"/>
      </w:r>
      <w:r>
        <w:rPr>
          <w:color w:val="0000FF"/>
          <w:sz w:val="24"/>
          <w:u w:val="single" w:color="0000FF"/>
        </w:rPr>
        <w:t>（股权</w:t>
      </w:r>
      <w:r>
        <w:rPr>
          <w:color w:val="0000FF"/>
          <w:spacing w:val="-12"/>
          <w:sz w:val="24"/>
          <w:u w:val="single" w:color="0000FF"/>
        </w:rPr>
        <w:t>）</w:t>
      </w:r>
      <w:r>
        <w:rPr>
          <w:color w:val="0000FF"/>
          <w:spacing w:val="-2"/>
          <w:sz w:val="24"/>
          <w:u w:val="single" w:color="0000FF"/>
        </w:rPr>
        <w:t>划转企业所得税征管问题的公告》</w:t>
      </w:r>
      <w:r>
        <w:rPr>
          <w:color w:val="0000FF"/>
          <w:sz w:val="24"/>
          <w:u w:val="single" w:color="0000FF"/>
        </w:rPr>
        <w:t>（</w:t>
      </w:r>
      <w:r>
        <w:rPr>
          <w:color w:val="0000FF"/>
          <w:spacing w:val="-15"/>
          <w:sz w:val="24"/>
          <w:u w:val="single" w:color="0000FF"/>
        </w:rPr>
        <w:t>国</w:t>
      </w:r>
      <w:r>
        <w:rPr>
          <w:color w:val="0000FF"/>
          <w:spacing w:val="-15"/>
          <w:sz w:val="24"/>
          <w:u w:val="single" w:color="0000FF"/>
        </w:rPr>
        <w:fldChar w:fldCharType="end"/>
      </w:r>
      <w:r>
        <w:rPr>
          <w:color w:val="0000FF"/>
          <w:spacing w:val="-31"/>
          <w:sz w:val="24"/>
          <w:u w:val="single" w:color="0000FF"/>
        </w:rPr>
        <w:t xml:space="preserve">家税务总局公告 </w:t>
      </w:r>
      <w:r>
        <w:rPr>
          <w:color w:val="0000FF"/>
          <w:sz w:val="24"/>
          <w:u w:val="single" w:color="0000FF"/>
        </w:rPr>
        <w:t>2015</w:t>
      </w:r>
      <w:r>
        <w:rPr>
          <w:color w:val="0000FF"/>
          <w:spacing w:val="-7"/>
          <w:sz w:val="24"/>
          <w:u w:val="single" w:color="0000FF"/>
        </w:rPr>
        <w:t xml:space="preserve"> 年第 </w:t>
      </w:r>
      <w:r>
        <w:rPr>
          <w:color w:val="0000FF"/>
          <w:sz w:val="24"/>
          <w:u w:val="single" w:color="0000FF"/>
        </w:rPr>
        <w:t>40</w:t>
      </w:r>
      <w:r>
        <w:rPr>
          <w:color w:val="0000FF"/>
          <w:spacing w:val="-6"/>
          <w:sz w:val="24"/>
          <w:u w:val="single" w:color="0000FF"/>
        </w:rPr>
        <w:t xml:space="preserve"> 号</w:t>
      </w:r>
      <w:r>
        <w:rPr>
          <w:color w:val="0000FF"/>
          <w:sz w:val="24"/>
          <w:u w:val="single" w:color="0000FF"/>
        </w:rPr>
        <w:t>）</w:t>
      </w:r>
    </w:p>
    <w:p>
      <w:pPr>
        <w:pStyle w:val="3"/>
        <w:spacing w:before="0"/>
        <w:ind w:left="0"/>
        <w:rPr>
          <w:rFonts w:ascii="微软雅黑"/>
          <w:sz w:val="20"/>
        </w:rPr>
      </w:pPr>
    </w:p>
    <w:p>
      <w:pPr>
        <w:pStyle w:val="3"/>
        <w:spacing w:before="16"/>
        <w:ind w:left="0"/>
        <w:rPr>
          <w:rFonts w:ascii="微软雅黑"/>
          <w:sz w:val="11"/>
        </w:rPr>
      </w:pPr>
    </w:p>
    <w:p>
      <w:pPr>
        <w:spacing w:before="37"/>
        <w:ind w:left="2280" w:right="0" w:firstLine="0"/>
        <w:jc w:val="left"/>
        <w:outlineLvl w:val="1"/>
        <w:rPr>
          <w:rFonts w:hint="eastAsia" w:ascii="微软雅黑" w:eastAsia="微软雅黑"/>
          <w:b/>
          <w:sz w:val="24"/>
        </w:rPr>
      </w:pPr>
      <w:r>
        <w:rPr>
          <w:rFonts w:hint="eastAsia" w:ascii="微软雅黑" w:eastAsia="微软雅黑"/>
          <w:b/>
          <w:color w:val="333333"/>
          <w:sz w:val="24"/>
        </w:rPr>
        <w:t>（八）非货币性资产投资</w:t>
      </w:r>
    </w:p>
    <w:p>
      <w:pPr>
        <w:spacing w:before="182"/>
        <w:ind w:left="2280" w:right="0" w:firstLine="0"/>
        <w:jc w:val="left"/>
        <w:rPr>
          <w:rFonts w:hint="eastAsia" w:ascii="微软雅黑" w:eastAsia="微软雅黑"/>
          <w:b/>
          <w:sz w:val="24"/>
        </w:rPr>
      </w:pPr>
      <w:r>
        <w:rPr>
          <w:rFonts w:hint="eastAsia" w:ascii="微软雅黑" w:eastAsia="微软雅黑"/>
          <w:b/>
          <w:color w:val="333333"/>
          <w:sz w:val="24"/>
        </w:rPr>
        <w:t>【适用主体】</w:t>
      </w:r>
    </w:p>
    <w:p>
      <w:pPr>
        <w:pStyle w:val="3"/>
        <w:spacing w:before="181"/>
        <w:ind w:left="2280"/>
        <w:rPr>
          <w:rFonts w:hint="eastAsia" w:ascii="微软雅黑" w:eastAsia="微软雅黑"/>
        </w:rPr>
      </w:pPr>
      <w:r>
        <w:rPr>
          <w:rFonts w:hint="eastAsia" w:ascii="微软雅黑" w:eastAsia="微软雅黑"/>
          <w:color w:val="333333"/>
        </w:rPr>
        <w:t>实行查账征收的居民企业</w:t>
      </w:r>
    </w:p>
    <w:p>
      <w:pPr>
        <w:spacing w:before="182"/>
        <w:ind w:left="2280" w:right="0" w:firstLine="0"/>
        <w:jc w:val="left"/>
        <w:rPr>
          <w:rFonts w:hint="eastAsia" w:ascii="微软雅黑" w:eastAsia="微软雅黑"/>
          <w:b/>
          <w:sz w:val="24"/>
        </w:rPr>
      </w:pPr>
      <w:r>
        <w:rPr>
          <w:rFonts w:hint="eastAsia" w:ascii="微软雅黑" w:eastAsia="微软雅黑"/>
          <w:b/>
          <w:color w:val="333333"/>
          <w:sz w:val="24"/>
        </w:rPr>
        <w:t>【政策内容】</w:t>
      </w:r>
    </w:p>
    <w:p>
      <w:pPr>
        <w:pStyle w:val="8"/>
        <w:numPr>
          <w:ilvl w:val="0"/>
          <w:numId w:val="52"/>
        </w:numPr>
        <w:tabs>
          <w:tab w:val="left" w:pos="2484"/>
        </w:tabs>
        <w:spacing w:before="181" w:after="0" w:line="338" w:lineRule="auto"/>
        <w:ind w:left="1800" w:right="1797" w:firstLine="480"/>
        <w:jc w:val="both"/>
        <w:rPr>
          <w:sz w:val="24"/>
        </w:rPr>
      </w:pPr>
      <w:r>
        <w:pict>
          <v:shape id="_x0000_s1069" o:spid="_x0000_s1069" o:spt="136" type="#_x0000_t136" style="position:absolute;left:0pt;margin-left:41.25pt;margin-top:63.75pt;height:132pt;width:528.05pt;mso-position-horizontal-relative:page;rotation:20643840f;z-index:-251612160;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color w:val="333333"/>
          <w:spacing w:val="3"/>
          <w:sz w:val="24"/>
        </w:rPr>
        <w:t>实行查账征收的居民企业以非货币性资产对外投资确认的非货币性资产</w:t>
      </w:r>
      <w:r>
        <w:rPr>
          <w:color w:val="333333"/>
          <w:spacing w:val="-12"/>
          <w:sz w:val="24"/>
        </w:rPr>
        <w:t xml:space="preserve">转让所得，可自确认非货币性资产转让收入年度起不超过连续 </w:t>
      </w:r>
      <w:r>
        <w:rPr>
          <w:color w:val="333333"/>
          <w:sz w:val="24"/>
        </w:rPr>
        <w:t>5</w:t>
      </w:r>
      <w:r>
        <w:rPr>
          <w:color w:val="333333"/>
          <w:spacing w:val="-5"/>
          <w:sz w:val="24"/>
        </w:rPr>
        <w:t xml:space="preserve"> 个纳税年度的期</w:t>
      </w:r>
      <w:r>
        <w:rPr>
          <w:color w:val="333333"/>
          <w:sz w:val="24"/>
        </w:rPr>
        <w:t>间内，分期均匀计入相应年度的应纳税所得额，按规定计算缴纳企业所得税。</w:t>
      </w:r>
    </w:p>
    <w:p>
      <w:pPr>
        <w:pStyle w:val="3"/>
        <w:spacing w:line="338" w:lineRule="auto"/>
        <w:ind w:right="1797" w:firstLine="480"/>
        <w:rPr>
          <w:rFonts w:hint="eastAsia" w:ascii="微软雅黑" w:eastAsia="微软雅黑"/>
        </w:rPr>
      </w:pPr>
      <w:r>
        <w:rPr>
          <w:rFonts w:hint="eastAsia" w:ascii="微软雅黑" w:eastAsia="微软雅黑"/>
          <w:color w:val="333333"/>
          <w:spacing w:val="-10"/>
        </w:rPr>
        <w:t>非货币性资产，是指现金、银行存款、应收账款、应收票据以及准备持有至</w:t>
      </w:r>
      <w:r>
        <w:rPr>
          <w:rFonts w:hint="eastAsia" w:ascii="微软雅黑" w:eastAsia="微软雅黑"/>
          <w:color w:val="333333"/>
        </w:rPr>
        <w:t>到期的债券投资等货币性资产以外的资产。</w:t>
      </w:r>
    </w:p>
    <w:p>
      <w:pPr>
        <w:pStyle w:val="8"/>
        <w:numPr>
          <w:ilvl w:val="0"/>
          <w:numId w:val="52"/>
        </w:numPr>
        <w:tabs>
          <w:tab w:val="left" w:pos="2481"/>
        </w:tabs>
        <w:spacing w:before="1" w:after="0" w:line="338" w:lineRule="auto"/>
        <w:ind w:left="1800" w:right="1797" w:firstLine="480"/>
        <w:jc w:val="left"/>
        <w:rPr>
          <w:sz w:val="24"/>
        </w:rPr>
      </w:pPr>
      <w:r>
        <w:rPr>
          <w:color w:val="333333"/>
          <w:spacing w:val="-1"/>
          <w:sz w:val="24"/>
        </w:rPr>
        <w:t>企业以非货币性资产对外投资，其非货币性资产转让所得=非货币性资产</w:t>
      </w:r>
      <w:r>
        <w:rPr>
          <w:color w:val="333333"/>
          <w:sz w:val="24"/>
        </w:rPr>
        <w:t>评估公允价值-非货币性资产计税基础。</w:t>
      </w:r>
    </w:p>
    <w:p>
      <w:pPr>
        <w:pStyle w:val="8"/>
        <w:numPr>
          <w:ilvl w:val="0"/>
          <w:numId w:val="52"/>
        </w:numPr>
        <w:tabs>
          <w:tab w:val="left" w:pos="2481"/>
        </w:tabs>
        <w:spacing w:before="0" w:after="0" w:line="338" w:lineRule="auto"/>
        <w:ind w:left="1800" w:right="1797" w:firstLine="480"/>
        <w:jc w:val="left"/>
        <w:rPr>
          <w:sz w:val="24"/>
        </w:rPr>
      </w:pPr>
      <w:r>
        <w:rPr>
          <w:color w:val="333333"/>
          <w:spacing w:val="-5"/>
          <w:sz w:val="24"/>
        </w:rPr>
        <w:t>投资企业取得的被投资企业的股权，应以非货币性资产的原计税成本为计</w:t>
      </w:r>
      <w:r>
        <w:rPr>
          <w:color w:val="333333"/>
          <w:sz w:val="24"/>
        </w:rPr>
        <w:t>税基础，加上每年确认的非货币性资产转让所得，逐年进行调整。</w:t>
      </w:r>
    </w:p>
    <w:p>
      <w:pPr>
        <w:pStyle w:val="8"/>
        <w:numPr>
          <w:ilvl w:val="0"/>
          <w:numId w:val="52"/>
        </w:numPr>
        <w:tabs>
          <w:tab w:val="left" w:pos="2481"/>
        </w:tabs>
        <w:spacing w:before="1" w:after="0" w:line="338" w:lineRule="auto"/>
        <w:ind w:left="1800" w:right="1797" w:firstLine="480"/>
        <w:jc w:val="left"/>
        <w:rPr>
          <w:sz w:val="24"/>
        </w:rPr>
      </w:pPr>
      <w:r>
        <w:rPr>
          <w:color w:val="333333"/>
          <w:spacing w:val="-4"/>
          <w:sz w:val="24"/>
        </w:rPr>
        <w:t>被投资企业取得非货币性资产的计税基础，应按非货币性资产的公允价值</w:t>
      </w:r>
      <w:r>
        <w:rPr>
          <w:color w:val="333333"/>
          <w:sz w:val="24"/>
        </w:rPr>
        <w:t>确定。</w:t>
      </w:r>
    </w:p>
    <w:p>
      <w:pPr>
        <w:pStyle w:val="8"/>
        <w:numPr>
          <w:ilvl w:val="0"/>
          <w:numId w:val="52"/>
        </w:numPr>
        <w:tabs>
          <w:tab w:val="left" w:pos="2481"/>
        </w:tabs>
        <w:spacing w:before="0" w:after="0" w:line="338" w:lineRule="auto"/>
        <w:ind w:left="1800" w:right="1795" w:firstLine="480"/>
        <w:jc w:val="both"/>
        <w:rPr>
          <w:sz w:val="24"/>
        </w:rPr>
      </w:pPr>
      <w:r>
        <w:rPr>
          <w:color w:val="333333"/>
          <w:spacing w:val="-1"/>
          <w:sz w:val="24"/>
        </w:rPr>
        <w:t xml:space="preserve">企业在对外投资 </w:t>
      </w:r>
      <w:r>
        <w:rPr>
          <w:color w:val="333333"/>
          <w:sz w:val="24"/>
        </w:rPr>
        <w:t>5</w:t>
      </w:r>
      <w:r>
        <w:rPr>
          <w:color w:val="333333"/>
          <w:spacing w:val="-8"/>
          <w:sz w:val="24"/>
        </w:rPr>
        <w:t xml:space="preserve"> 年内转让被投资企业股权或投资收回的，应停止执行递</w:t>
      </w:r>
      <w:r>
        <w:rPr>
          <w:color w:val="333333"/>
          <w:spacing w:val="-10"/>
          <w:sz w:val="24"/>
        </w:rPr>
        <w:t>延纳税政策，并就递延期内尚未确认的非货币性资产转让所得，在转让股权或投</w:t>
      </w:r>
      <w:r>
        <w:rPr>
          <w:color w:val="333333"/>
          <w:spacing w:val="-6"/>
          <w:sz w:val="24"/>
        </w:rPr>
        <w:t>资收回当年的企业所得税年度汇算清缴时，一次性计算缴纳企业所得税；企业在</w:t>
      </w:r>
    </w:p>
    <w:p>
      <w:pPr>
        <w:pStyle w:val="3"/>
        <w:rPr>
          <w:rFonts w:hint="eastAsia" w:ascii="微软雅黑" w:eastAsia="微软雅黑"/>
        </w:rPr>
      </w:pPr>
      <w:r>
        <w:rPr>
          <w:rFonts w:hint="eastAsia" w:ascii="微软雅黑" w:eastAsia="微软雅黑"/>
          <w:color w:val="333333"/>
        </w:rPr>
        <w:t>计算股权转让所得时，可将股权的计税基础一次调整到位。</w:t>
      </w:r>
    </w:p>
    <w:p>
      <w:pPr>
        <w:spacing w:after="0"/>
        <w:rPr>
          <w:rFonts w:hint="eastAsia" w:ascii="微软雅黑" w:eastAsia="微软雅黑"/>
        </w:rPr>
        <w:sectPr>
          <w:pgSz w:w="11910" w:h="16840"/>
          <w:pgMar w:top="1540" w:right="0" w:bottom="1380" w:left="0" w:header="965" w:footer="1182" w:gutter="0"/>
          <w:cols w:space="720" w:num="1"/>
        </w:sectPr>
      </w:pPr>
    </w:p>
    <w:p>
      <w:pPr>
        <w:pStyle w:val="3"/>
        <w:spacing w:before="11"/>
        <w:ind w:left="0"/>
        <w:rPr>
          <w:rFonts w:ascii="微软雅黑"/>
          <w:sz w:val="10"/>
        </w:rPr>
      </w:pPr>
    </w:p>
    <w:p>
      <w:pPr>
        <w:pStyle w:val="8"/>
        <w:numPr>
          <w:ilvl w:val="0"/>
          <w:numId w:val="52"/>
        </w:numPr>
        <w:tabs>
          <w:tab w:val="left" w:pos="2481"/>
        </w:tabs>
        <w:spacing w:before="37" w:after="0" w:line="338" w:lineRule="auto"/>
        <w:ind w:left="1800" w:right="1705" w:firstLine="480"/>
        <w:jc w:val="both"/>
        <w:rPr>
          <w:sz w:val="24"/>
        </w:rPr>
      </w:pPr>
      <w:r>
        <w:rPr>
          <w:color w:val="333333"/>
          <w:spacing w:val="-2"/>
          <w:sz w:val="24"/>
        </w:rPr>
        <w:t xml:space="preserve">企业在对外投资 </w:t>
      </w:r>
      <w:r>
        <w:rPr>
          <w:color w:val="333333"/>
          <w:sz w:val="24"/>
        </w:rPr>
        <w:t>5</w:t>
      </w:r>
      <w:r>
        <w:rPr>
          <w:color w:val="333333"/>
          <w:spacing w:val="-9"/>
          <w:sz w:val="24"/>
        </w:rPr>
        <w:t xml:space="preserve"> 年内注销的，应停止执行递延纳税政策，并就递延期内</w:t>
      </w:r>
      <w:r>
        <w:rPr>
          <w:color w:val="333333"/>
          <w:spacing w:val="-10"/>
          <w:sz w:val="24"/>
        </w:rPr>
        <w:t xml:space="preserve">尚未确认的非货币性资产转让所得，在注销当年的企业所得税年度汇算清缴时， </w:t>
      </w:r>
      <w:r>
        <w:rPr>
          <w:color w:val="333333"/>
          <w:sz w:val="24"/>
        </w:rPr>
        <w:t>一次性计算缴纳企业所得税。</w:t>
      </w:r>
    </w:p>
    <w:p>
      <w:pPr>
        <w:spacing w:before="1"/>
        <w:ind w:left="2280" w:right="0" w:firstLine="0"/>
        <w:jc w:val="left"/>
        <w:rPr>
          <w:rFonts w:hint="eastAsia" w:ascii="微软雅黑" w:eastAsia="微软雅黑"/>
          <w:b/>
          <w:sz w:val="24"/>
        </w:rPr>
      </w:pPr>
      <w:r>
        <w:rPr>
          <w:rFonts w:hint="eastAsia" w:ascii="微软雅黑" w:eastAsia="微软雅黑"/>
          <w:b/>
          <w:color w:val="333333"/>
          <w:sz w:val="24"/>
        </w:rPr>
        <w:t>【适用条件】</w:t>
      </w:r>
    </w:p>
    <w:p>
      <w:pPr>
        <w:pStyle w:val="3"/>
        <w:spacing w:before="181" w:line="338" w:lineRule="auto"/>
        <w:ind w:right="1797" w:firstLine="480"/>
        <w:rPr>
          <w:rFonts w:hint="eastAsia" w:ascii="微软雅黑" w:eastAsia="微软雅黑"/>
        </w:rPr>
      </w:pPr>
      <w:r>
        <w:rPr>
          <w:rFonts w:hint="eastAsia" w:ascii="微软雅黑" w:eastAsia="微软雅黑"/>
          <w:color w:val="333333"/>
          <w:spacing w:val="-5"/>
        </w:rPr>
        <w:t>对外投资仅限于以非货币性资产出资设立新的居民企业，或将非货币性资产</w:t>
      </w:r>
      <w:r>
        <w:rPr>
          <w:rFonts w:hint="eastAsia" w:ascii="微软雅黑" w:eastAsia="微软雅黑"/>
          <w:color w:val="333333"/>
        </w:rPr>
        <w:t>注入现存的居民企业。</w:t>
      </w:r>
    </w:p>
    <w:p>
      <w:pPr>
        <w:spacing w:before="1"/>
        <w:ind w:left="2280" w:right="0" w:firstLine="0"/>
        <w:jc w:val="left"/>
        <w:rPr>
          <w:rFonts w:hint="eastAsia" w:ascii="微软雅黑" w:eastAsia="微软雅黑"/>
          <w:b/>
          <w:sz w:val="24"/>
        </w:rPr>
      </w:pPr>
      <w:r>
        <w:rPr>
          <w:rFonts w:hint="eastAsia" w:ascii="微软雅黑" w:eastAsia="微软雅黑"/>
          <w:b/>
          <w:color w:val="333333"/>
          <w:sz w:val="24"/>
        </w:rPr>
        <w:t>【备查资料】</w:t>
      </w:r>
    </w:p>
    <w:p>
      <w:pPr>
        <w:pStyle w:val="3"/>
        <w:spacing w:before="181" w:line="338" w:lineRule="auto"/>
        <w:ind w:right="1797" w:firstLine="480"/>
        <w:jc w:val="both"/>
        <w:rPr>
          <w:rFonts w:hint="eastAsia" w:ascii="微软雅黑" w:eastAsia="微软雅黑"/>
        </w:rPr>
      </w:pPr>
      <w:r>
        <w:pict>
          <v:shape id="_x0000_s1070" o:spid="_x0000_s1070" o:spt="136" type="#_x0000_t136" style="position:absolute;left:0pt;margin-left:41.25pt;margin-top:63.75pt;height:132pt;width:528.05pt;mso-position-horizontal-relative:page;rotation:20643840f;z-index:-251611136;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eastAsia="微软雅黑"/>
          <w:color w:val="333333"/>
          <w:spacing w:val="-5"/>
        </w:rPr>
        <w:t>企业应将股权投资合同或协议、对外投资的非货币性资产</w:t>
      </w:r>
      <w:r>
        <w:rPr>
          <w:rFonts w:hint="eastAsia" w:ascii="微软雅黑" w:eastAsia="微软雅黑"/>
          <w:color w:val="333333"/>
          <w:spacing w:val="-3"/>
        </w:rPr>
        <w:t>（</w:t>
      </w:r>
      <w:r>
        <w:rPr>
          <w:rFonts w:hint="eastAsia" w:ascii="微软雅黑" w:eastAsia="微软雅黑"/>
          <w:color w:val="333333"/>
        </w:rPr>
        <w:t>明细</w:t>
      </w:r>
      <w:r>
        <w:rPr>
          <w:rFonts w:hint="eastAsia" w:ascii="微软雅黑" w:eastAsia="微软雅黑"/>
          <w:color w:val="333333"/>
          <w:spacing w:val="-34"/>
        </w:rPr>
        <w:t>）</w:t>
      </w:r>
      <w:r>
        <w:rPr>
          <w:rFonts w:hint="eastAsia" w:ascii="微软雅黑" w:eastAsia="微软雅黑"/>
          <w:color w:val="333333"/>
          <w:spacing w:val="-4"/>
        </w:rPr>
        <w:t>公允价值</w:t>
      </w:r>
      <w:r>
        <w:rPr>
          <w:rFonts w:hint="eastAsia" w:ascii="微软雅黑" w:eastAsia="微软雅黑"/>
          <w:color w:val="333333"/>
          <w:spacing w:val="-6"/>
        </w:rPr>
        <w:t>评估确认报告、非货币性资产</w:t>
      </w:r>
      <w:r>
        <w:rPr>
          <w:rFonts w:hint="eastAsia" w:ascii="微软雅黑" w:eastAsia="微软雅黑"/>
          <w:color w:val="333333"/>
          <w:spacing w:val="-3"/>
        </w:rPr>
        <w:t>（</w:t>
      </w:r>
      <w:r>
        <w:rPr>
          <w:rFonts w:hint="eastAsia" w:ascii="微软雅黑" w:eastAsia="微软雅黑"/>
          <w:color w:val="333333"/>
        </w:rPr>
        <w:t>明细</w:t>
      </w:r>
      <w:r>
        <w:rPr>
          <w:rFonts w:hint="eastAsia" w:ascii="微软雅黑" w:eastAsia="微软雅黑"/>
          <w:color w:val="333333"/>
          <w:spacing w:val="-22"/>
        </w:rPr>
        <w:t>）</w:t>
      </w:r>
      <w:r>
        <w:rPr>
          <w:rFonts w:hint="eastAsia" w:ascii="微软雅黑" w:eastAsia="微软雅黑"/>
          <w:color w:val="333333"/>
          <w:spacing w:val="-4"/>
        </w:rPr>
        <w:t>计税基础的情况说明、被投资企业设立或</w:t>
      </w:r>
      <w:r>
        <w:rPr>
          <w:rFonts w:hint="eastAsia" w:ascii="微软雅黑" w:eastAsia="微软雅黑"/>
          <w:color w:val="333333"/>
        </w:rPr>
        <w:t>变更的工商部门证明材料等资料留存备查，并单独准确核算税法与会计差异情况。</w:t>
      </w:r>
    </w:p>
    <w:p>
      <w:pPr>
        <w:spacing w:before="1"/>
        <w:ind w:left="2280" w:right="0" w:firstLine="0"/>
        <w:jc w:val="left"/>
        <w:rPr>
          <w:rFonts w:hint="eastAsia" w:ascii="微软雅黑" w:eastAsia="微软雅黑"/>
          <w:b/>
          <w:sz w:val="24"/>
        </w:rPr>
      </w:pPr>
      <w:r>
        <w:rPr>
          <w:rFonts w:hint="eastAsia" w:ascii="微软雅黑" w:eastAsia="微软雅黑"/>
          <w:b/>
          <w:color w:val="333333"/>
          <w:sz w:val="24"/>
        </w:rPr>
        <w:t>【政策依据】</w:t>
      </w:r>
    </w:p>
    <w:p>
      <w:pPr>
        <w:pStyle w:val="8"/>
        <w:numPr>
          <w:ilvl w:val="0"/>
          <w:numId w:val="53"/>
        </w:numPr>
        <w:tabs>
          <w:tab w:val="left" w:pos="2484"/>
        </w:tabs>
        <w:spacing w:before="182" w:after="0" w:line="338" w:lineRule="auto"/>
        <w:ind w:left="1800" w:right="1797" w:firstLine="480"/>
        <w:jc w:val="left"/>
        <w:rPr>
          <w:sz w:val="24"/>
        </w:rPr>
      </w:pPr>
      <w:r>
        <w:fldChar w:fldCharType="begin"/>
      </w:r>
      <w:r>
        <w:instrText xml:space="preserve"> HYPERLINK \l "_bookmark23" </w:instrText>
      </w:r>
      <w:r>
        <w:fldChar w:fldCharType="separate"/>
      </w:r>
      <w:r>
        <w:rPr>
          <w:color w:val="0000FF"/>
          <w:spacing w:val="3"/>
          <w:sz w:val="24"/>
          <w:u w:val="single" w:color="0000FF"/>
        </w:rPr>
        <w:t>《财政部国家税务总局关于非货币性资产投资企业所得税政策问题的通</w:t>
      </w:r>
      <w:r>
        <w:rPr>
          <w:color w:val="0000FF"/>
          <w:spacing w:val="3"/>
          <w:sz w:val="24"/>
          <w:u w:val="single" w:color="0000FF"/>
        </w:rPr>
        <w:fldChar w:fldCharType="end"/>
      </w:r>
      <w:r>
        <w:rPr>
          <w:color w:val="0000FF"/>
          <w:spacing w:val="-231"/>
          <w:sz w:val="24"/>
          <w:u w:val="single" w:color="0000FF"/>
        </w:rPr>
        <w:t>知》</w:t>
      </w:r>
      <w:r>
        <w:rPr>
          <w:color w:val="0000FF"/>
          <w:sz w:val="24"/>
          <w:u w:val="single" w:color="0000FF"/>
        </w:rPr>
        <w:t>（财税〔2014〕116</w:t>
      </w:r>
      <w:r>
        <w:rPr>
          <w:color w:val="0000FF"/>
          <w:spacing w:val="-7"/>
          <w:sz w:val="24"/>
          <w:u w:val="single" w:color="0000FF"/>
        </w:rPr>
        <w:t xml:space="preserve"> 号</w:t>
      </w:r>
      <w:r>
        <w:rPr>
          <w:color w:val="0000FF"/>
          <w:sz w:val="24"/>
          <w:u w:val="single" w:color="0000FF"/>
        </w:rPr>
        <w:t>）</w:t>
      </w:r>
    </w:p>
    <w:p>
      <w:pPr>
        <w:pStyle w:val="8"/>
        <w:numPr>
          <w:ilvl w:val="0"/>
          <w:numId w:val="53"/>
        </w:numPr>
        <w:tabs>
          <w:tab w:val="left" w:pos="2481"/>
        </w:tabs>
        <w:spacing w:before="0" w:after="0" w:line="240" w:lineRule="auto"/>
        <w:ind w:left="2480" w:right="0" w:hanging="201"/>
        <w:jc w:val="left"/>
        <w:rPr>
          <w:sz w:val="24"/>
        </w:rPr>
      </w:pPr>
      <w:r>
        <w:fldChar w:fldCharType="begin"/>
      </w:r>
      <w:r>
        <w:instrText xml:space="preserve"> HYPERLINK \l "_bookmark24" </w:instrText>
      </w:r>
      <w:r>
        <w:fldChar w:fldCharType="separate"/>
      </w:r>
      <w:r>
        <w:rPr>
          <w:color w:val="0000FF"/>
          <w:sz w:val="24"/>
          <w:u w:val="single" w:color="0000FF"/>
        </w:rPr>
        <w:t>《国家税务总局关于非货币性资产投资企业所得税有关征管问题的公告》</w:t>
      </w:r>
      <w:r>
        <w:rPr>
          <w:color w:val="0000FF"/>
          <w:sz w:val="24"/>
          <w:u w:val="single" w:color="0000FF"/>
        </w:rPr>
        <w:fldChar w:fldCharType="end"/>
      </w:r>
    </w:p>
    <w:p>
      <w:pPr>
        <w:pStyle w:val="3"/>
        <w:spacing w:before="182"/>
        <w:rPr>
          <w:rFonts w:hint="eastAsia" w:ascii="微软雅黑" w:eastAsia="微软雅黑"/>
        </w:rPr>
      </w:pPr>
      <w:r>
        <w:rPr>
          <w:rFonts w:hint="eastAsia" w:ascii="微软雅黑" w:eastAsia="微软雅黑"/>
          <w:color w:val="0000FF"/>
          <w:u w:val="single" w:color="0000FF"/>
        </w:rPr>
        <w:t>（国家税务总局公告 2015 年第 33 号）</w:t>
      </w:r>
    </w:p>
    <w:p>
      <w:pPr>
        <w:pStyle w:val="3"/>
        <w:spacing w:before="0"/>
        <w:ind w:left="0"/>
        <w:rPr>
          <w:rFonts w:ascii="微软雅黑"/>
          <w:sz w:val="20"/>
        </w:rPr>
      </w:pPr>
    </w:p>
    <w:p>
      <w:pPr>
        <w:pStyle w:val="3"/>
        <w:spacing w:before="13"/>
        <w:ind w:left="0"/>
        <w:rPr>
          <w:rFonts w:ascii="微软雅黑"/>
          <w:sz w:val="21"/>
        </w:rPr>
      </w:pPr>
    </w:p>
    <w:p>
      <w:pPr>
        <w:spacing w:before="37"/>
        <w:ind w:left="2280" w:right="0" w:firstLine="0"/>
        <w:jc w:val="left"/>
        <w:outlineLvl w:val="1"/>
        <w:rPr>
          <w:rFonts w:hint="eastAsia" w:ascii="微软雅黑" w:eastAsia="微软雅黑"/>
          <w:b/>
          <w:sz w:val="24"/>
        </w:rPr>
      </w:pPr>
      <w:r>
        <w:rPr>
          <w:rFonts w:hint="eastAsia" w:ascii="微软雅黑" w:eastAsia="微软雅黑"/>
          <w:b/>
          <w:color w:val="333333"/>
          <w:sz w:val="24"/>
        </w:rPr>
        <w:t>（九）技术成果投资入股</w:t>
      </w:r>
    </w:p>
    <w:p>
      <w:pPr>
        <w:spacing w:before="182"/>
        <w:ind w:left="2280" w:right="0" w:firstLine="0"/>
        <w:jc w:val="left"/>
        <w:rPr>
          <w:rFonts w:hint="eastAsia" w:ascii="微软雅黑" w:eastAsia="微软雅黑"/>
          <w:b/>
          <w:sz w:val="24"/>
        </w:rPr>
      </w:pPr>
      <w:r>
        <w:rPr>
          <w:rFonts w:hint="eastAsia" w:ascii="微软雅黑" w:eastAsia="微软雅黑"/>
          <w:b/>
          <w:color w:val="333333"/>
          <w:sz w:val="24"/>
        </w:rPr>
        <w:t>【适用主体】</w:t>
      </w:r>
    </w:p>
    <w:p>
      <w:pPr>
        <w:pStyle w:val="3"/>
        <w:spacing w:before="181"/>
        <w:ind w:left="2280"/>
        <w:rPr>
          <w:rFonts w:hint="eastAsia" w:ascii="微软雅黑" w:eastAsia="微软雅黑"/>
        </w:rPr>
      </w:pPr>
      <w:r>
        <w:rPr>
          <w:rFonts w:hint="eastAsia" w:ascii="微软雅黑" w:eastAsia="微软雅黑"/>
          <w:color w:val="333333"/>
        </w:rPr>
        <w:t>实行查账征收的居民企业</w:t>
      </w:r>
    </w:p>
    <w:p>
      <w:pPr>
        <w:spacing w:before="182"/>
        <w:ind w:left="2280" w:right="0" w:firstLine="0"/>
        <w:jc w:val="left"/>
        <w:rPr>
          <w:rFonts w:hint="eastAsia" w:ascii="微软雅黑" w:eastAsia="微软雅黑"/>
          <w:b/>
          <w:sz w:val="24"/>
        </w:rPr>
      </w:pPr>
      <w:r>
        <w:rPr>
          <w:rFonts w:hint="eastAsia" w:ascii="微软雅黑" w:eastAsia="微软雅黑"/>
          <w:b/>
          <w:color w:val="333333"/>
          <w:sz w:val="24"/>
        </w:rPr>
        <w:t>【政策内容】</w:t>
      </w:r>
    </w:p>
    <w:p>
      <w:pPr>
        <w:spacing w:after="0"/>
        <w:jc w:val="left"/>
        <w:rPr>
          <w:rFonts w:hint="eastAsia" w:ascii="微软雅黑" w:eastAsia="微软雅黑"/>
          <w:sz w:val="24"/>
        </w:rPr>
        <w:sectPr>
          <w:pgSz w:w="11910" w:h="16840"/>
          <w:pgMar w:top="1540" w:right="0" w:bottom="1380" w:left="0" w:header="965" w:footer="1182" w:gutter="0"/>
          <w:cols w:space="720" w:num="1"/>
        </w:sectPr>
      </w:pPr>
    </w:p>
    <w:p>
      <w:pPr>
        <w:pStyle w:val="3"/>
        <w:spacing w:before="11"/>
        <w:ind w:left="0"/>
        <w:rPr>
          <w:rFonts w:ascii="微软雅黑"/>
          <w:b/>
          <w:sz w:val="10"/>
        </w:rPr>
      </w:pPr>
    </w:p>
    <w:p>
      <w:pPr>
        <w:pStyle w:val="8"/>
        <w:numPr>
          <w:ilvl w:val="0"/>
          <w:numId w:val="54"/>
        </w:numPr>
        <w:tabs>
          <w:tab w:val="left" w:pos="2481"/>
        </w:tabs>
        <w:spacing w:before="37" w:after="0" w:line="338" w:lineRule="auto"/>
        <w:ind w:left="1800" w:right="1797" w:firstLine="480"/>
        <w:jc w:val="left"/>
        <w:rPr>
          <w:sz w:val="24"/>
        </w:rPr>
      </w:pPr>
      <w:r>
        <w:rPr>
          <w:color w:val="333333"/>
          <w:spacing w:val="-3"/>
          <w:sz w:val="24"/>
        </w:rPr>
        <w:t>实行查账征收的居民企业以技术成果投资入股到境内居民企业，被投资企</w:t>
      </w:r>
      <w:r>
        <w:rPr>
          <w:color w:val="333333"/>
          <w:sz w:val="24"/>
        </w:rPr>
        <w:t>业支付的对价全部为股票（权）的，企业或可选择适用递延纳税优惠政策。</w:t>
      </w:r>
    </w:p>
    <w:p>
      <w:pPr>
        <w:pStyle w:val="3"/>
        <w:spacing w:before="0" w:line="338" w:lineRule="auto"/>
        <w:ind w:right="1797" w:firstLine="480"/>
        <w:jc w:val="both"/>
        <w:rPr>
          <w:rFonts w:hint="eastAsia" w:ascii="微软雅黑" w:eastAsia="微软雅黑"/>
        </w:rPr>
      </w:pPr>
      <w:r>
        <w:rPr>
          <w:rFonts w:hint="eastAsia" w:ascii="微软雅黑" w:eastAsia="微软雅黑"/>
          <w:color w:val="333333"/>
          <w:spacing w:val="-6"/>
        </w:rPr>
        <w:t>选择技术成果投资入股递延纳税政策的，经向主管税务机关备案，投资入股</w:t>
      </w:r>
      <w:r>
        <w:rPr>
          <w:rFonts w:hint="eastAsia" w:ascii="微软雅黑" w:eastAsia="微软雅黑"/>
          <w:color w:val="333333"/>
          <w:spacing w:val="-10"/>
        </w:rPr>
        <w:t>当期可暂不纳税，允许递延至转让股权时，按股权转让收入减去技术成果原值和</w:t>
      </w:r>
      <w:r>
        <w:rPr>
          <w:rFonts w:hint="eastAsia" w:ascii="微软雅黑" w:eastAsia="微软雅黑"/>
          <w:color w:val="333333"/>
        </w:rPr>
        <w:t>合理税费后的差额计算缴纳所得税。</w:t>
      </w:r>
    </w:p>
    <w:p>
      <w:pPr>
        <w:pStyle w:val="8"/>
        <w:numPr>
          <w:ilvl w:val="0"/>
          <w:numId w:val="54"/>
        </w:numPr>
        <w:tabs>
          <w:tab w:val="left" w:pos="2481"/>
        </w:tabs>
        <w:spacing w:before="1" w:after="0" w:line="338" w:lineRule="auto"/>
        <w:ind w:left="1800" w:right="1797" w:firstLine="480"/>
        <w:jc w:val="left"/>
        <w:rPr>
          <w:sz w:val="24"/>
        </w:rPr>
      </w:pPr>
      <w:r>
        <w:rPr>
          <w:color w:val="333333"/>
          <w:spacing w:val="-4"/>
          <w:sz w:val="24"/>
        </w:rPr>
        <w:t>企业接受技术成果投资入股适用递延纳税政策的，允许被投资企业按技术</w:t>
      </w:r>
      <w:r>
        <w:rPr>
          <w:color w:val="333333"/>
          <w:sz w:val="24"/>
        </w:rPr>
        <w:t>成果投资入股时的评估值入账并在企业所得税前摊销扣除。</w:t>
      </w:r>
    </w:p>
    <w:p>
      <w:pPr>
        <w:spacing w:before="1"/>
        <w:ind w:left="2280" w:right="0" w:firstLine="0"/>
        <w:jc w:val="left"/>
        <w:rPr>
          <w:rFonts w:hint="eastAsia" w:ascii="微软雅黑" w:eastAsia="微软雅黑"/>
          <w:b/>
          <w:sz w:val="24"/>
        </w:rPr>
      </w:pPr>
      <w:r>
        <w:rPr>
          <w:rFonts w:hint="eastAsia" w:ascii="微软雅黑" w:eastAsia="微软雅黑"/>
          <w:b/>
          <w:color w:val="333333"/>
          <w:sz w:val="24"/>
        </w:rPr>
        <w:t>【适用条件】</w:t>
      </w:r>
    </w:p>
    <w:p>
      <w:pPr>
        <w:pStyle w:val="3"/>
        <w:spacing w:before="181"/>
        <w:ind w:left="2280"/>
        <w:rPr>
          <w:rFonts w:hint="eastAsia" w:ascii="微软雅黑" w:eastAsia="微软雅黑"/>
        </w:rPr>
      </w:pPr>
      <w:r>
        <w:pict>
          <v:shape id="_x0000_s1071" o:spid="_x0000_s1071" o:spt="136" type="#_x0000_t136" style="position:absolute;left:0pt;margin-left:41.25pt;margin-top:32.55pt;height:132pt;width:528.05pt;mso-position-horizontal-relative:page;rotation:20643840f;z-index:-251610112;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eastAsia="微软雅黑"/>
          <w:color w:val="333333"/>
        </w:rPr>
        <w:t>被投资企业支付的对价须全部为股票（权）。</w:t>
      </w:r>
    </w:p>
    <w:p>
      <w:pPr>
        <w:spacing w:before="182"/>
        <w:ind w:left="2280" w:right="0" w:firstLine="0"/>
        <w:jc w:val="left"/>
        <w:rPr>
          <w:rFonts w:hint="eastAsia" w:ascii="微软雅黑" w:eastAsia="微软雅黑"/>
          <w:b/>
          <w:sz w:val="24"/>
        </w:rPr>
      </w:pPr>
      <w:r>
        <w:rPr>
          <w:rFonts w:hint="eastAsia" w:ascii="微软雅黑" w:eastAsia="微软雅黑"/>
          <w:b/>
          <w:color w:val="333333"/>
          <w:sz w:val="24"/>
        </w:rPr>
        <w:t>【备案资料】</w:t>
      </w:r>
    </w:p>
    <w:p>
      <w:pPr>
        <w:pStyle w:val="3"/>
        <w:spacing w:before="181" w:line="338" w:lineRule="auto"/>
        <w:ind w:right="1797" w:firstLine="480"/>
        <w:rPr>
          <w:rFonts w:hint="eastAsia" w:ascii="微软雅黑" w:eastAsia="微软雅黑"/>
        </w:rPr>
      </w:pPr>
      <w:r>
        <w:rPr>
          <w:rFonts w:hint="eastAsia" w:ascii="微软雅黑" w:eastAsia="微软雅黑"/>
          <w:color w:val="333333"/>
          <w:spacing w:val="-7"/>
        </w:rPr>
        <w:t>企业适用递延纳税政策的，应在投资完成后首次预缴申报时，将相关内容填</w:t>
      </w:r>
      <w:r>
        <w:rPr>
          <w:rFonts w:hint="eastAsia" w:ascii="微软雅黑" w:eastAsia="微软雅黑"/>
          <w:color w:val="333333"/>
        </w:rPr>
        <w:t>入《技术成果投资入股企业所得税递延纳税备案表》</w:t>
      </w:r>
    </w:p>
    <w:p>
      <w:pPr>
        <w:spacing w:before="1"/>
        <w:ind w:left="2280" w:right="0" w:firstLine="0"/>
        <w:jc w:val="left"/>
        <w:rPr>
          <w:rFonts w:hint="eastAsia" w:ascii="微软雅黑" w:eastAsia="微软雅黑"/>
          <w:b/>
          <w:sz w:val="24"/>
        </w:rPr>
      </w:pPr>
      <w:r>
        <w:rPr>
          <w:rFonts w:hint="eastAsia" w:ascii="微软雅黑" w:eastAsia="微软雅黑"/>
          <w:b/>
          <w:color w:val="333333"/>
          <w:sz w:val="24"/>
        </w:rPr>
        <w:t>【政策依据】</w:t>
      </w:r>
    </w:p>
    <w:p>
      <w:pPr>
        <w:pStyle w:val="8"/>
        <w:numPr>
          <w:ilvl w:val="0"/>
          <w:numId w:val="55"/>
        </w:numPr>
        <w:tabs>
          <w:tab w:val="left" w:pos="2481"/>
        </w:tabs>
        <w:spacing w:before="182" w:after="0" w:line="338" w:lineRule="auto"/>
        <w:ind w:left="1800" w:right="1795" w:firstLine="480"/>
        <w:jc w:val="left"/>
        <w:rPr>
          <w:sz w:val="24"/>
        </w:rPr>
      </w:pPr>
      <w:r>
        <w:fldChar w:fldCharType="begin"/>
      </w:r>
      <w:r>
        <w:instrText xml:space="preserve"> HYPERLINK \l "_bookmark25" </w:instrText>
      </w:r>
      <w:r>
        <w:fldChar w:fldCharType="separate"/>
      </w:r>
      <w:r>
        <w:rPr>
          <w:color w:val="0000FF"/>
          <w:sz w:val="24"/>
          <w:u w:val="single" w:color="0000FF"/>
        </w:rPr>
        <w:t>《财政部国家税务总局关于完善股权激励和技术入股有关所得税政策的</w:t>
      </w:r>
      <w:r>
        <w:rPr>
          <w:color w:val="0000FF"/>
          <w:spacing w:val="-17"/>
          <w:sz w:val="24"/>
          <w:u w:val="single" w:color="0000FF"/>
        </w:rPr>
        <w:t>通</w:t>
      </w:r>
      <w:r>
        <w:rPr>
          <w:color w:val="0000FF"/>
          <w:spacing w:val="-17"/>
          <w:sz w:val="24"/>
          <w:u w:val="single" w:color="0000FF"/>
        </w:rPr>
        <w:fldChar w:fldCharType="end"/>
      </w:r>
      <w:r>
        <w:rPr>
          <w:color w:val="0000FF"/>
          <w:spacing w:val="-110"/>
          <w:sz w:val="24"/>
          <w:u w:val="single" w:color="0000FF"/>
        </w:rPr>
        <w:t>知》</w:t>
      </w:r>
      <w:r>
        <w:rPr>
          <w:color w:val="0000FF"/>
          <w:sz w:val="24"/>
          <w:u w:val="single" w:color="0000FF"/>
        </w:rPr>
        <w:t>（财税〔2016〕101</w:t>
      </w:r>
      <w:r>
        <w:rPr>
          <w:color w:val="0000FF"/>
          <w:spacing w:val="-7"/>
          <w:sz w:val="24"/>
          <w:u w:val="single" w:color="0000FF"/>
        </w:rPr>
        <w:t xml:space="preserve"> 号</w:t>
      </w:r>
      <w:r>
        <w:rPr>
          <w:color w:val="0000FF"/>
          <w:sz w:val="24"/>
          <w:u w:val="single" w:color="0000FF"/>
        </w:rPr>
        <w:t>）</w:t>
      </w:r>
    </w:p>
    <w:p>
      <w:pPr>
        <w:pStyle w:val="8"/>
        <w:numPr>
          <w:ilvl w:val="0"/>
          <w:numId w:val="55"/>
        </w:numPr>
        <w:tabs>
          <w:tab w:val="left" w:pos="2481"/>
        </w:tabs>
        <w:spacing w:before="0" w:after="0" w:line="338" w:lineRule="auto"/>
        <w:ind w:left="1800" w:right="1795" w:firstLine="480"/>
        <w:jc w:val="left"/>
        <w:rPr>
          <w:sz w:val="24"/>
        </w:rPr>
      </w:pPr>
      <w:r>
        <w:fldChar w:fldCharType="begin"/>
      </w:r>
      <w:r>
        <w:instrText xml:space="preserve"> HYPERLINK \l "_bookmark26" </w:instrText>
      </w:r>
      <w:r>
        <w:fldChar w:fldCharType="separate"/>
      </w:r>
      <w:r>
        <w:rPr>
          <w:color w:val="0000FF"/>
          <w:spacing w:val="-2"/>
          <w:sz w:val="24"/>
          <w:u w:val="single" w:color="0000FF"/>
        </w:rPr>
        <w:t>《国家税务总局关于股权激励和技术入股所得税征管问题的公告》</w:t>
      </w:r>
      <w:r>
        <w:rPr>
          <w:color w:val="0000FF"/>
          <w:sz w:val="24"/>
          <w:u w:val="single" w:color="0000FF"/>
        </w:rPr>
        <w:t>（</w:t>
      </w:r>
      <w:r>
        <w:rPr>
          <w:color w:val="0000FF"/>
          <w:spacing w:val="-8"/>
          <w:sz w:val="24"/>
          <w:u w:val="single" w:color="0000FF"/>
        </w:rPr>
        <w:t>国家</w:t>
      </w:r>
      <w:r>
        <w:rPr>
          <w:color w:val="0000FF"/>
          <w:spacing w:val="-8"/>
          <w:sz w:val="24"/>
          <w:u w:val="single" w:color="0000FF"/>
        </w:rPr>
        <w:fldChar w:fldCharType="end"/>
      </w:r>
      <w:r>
        <w:rPr>
          <w:color w:val="0000FF"/>
          <w:spacing w:val="-35"/>
          <w:sz w:val="24"/>
          <w:u w:val="single" w:color="0000FF"/>
        </w:rPr>
        <w:t xml:space="preserve">税务总局公告 </w:t>
      </w:r>
      <w:r>
        <w:rPr>
          <w:color w:val="0000FF"/>
          <w:sz w:val="24"/>
          <w:u w:val="single" w:color="0000FF"/>
        </w:rPr>
        <w:t>2016</w:t>
      </w:r>
      <w:r>
        <w:rPr>
          <w:color w:val="0000FF"/>
          <w:spacing w:val="-7"/>
          <w:sz w:val="24"/>
          <w:u w:val="single" w:color="0000FF"/>
        </w:rPr>
        <w:t xml:space="preserve"> 年第 </w:t>
      </w:r>
      <w:r>
        <w:rPr>
          <w:color w:val="0000FF"/>
          <w:sz w:val="24"/>
          <w:u w:val="single" w:color="0000FF"/>
        </w:rPr>
        <w:t>62</w:t>
      </w:r>
      <w:r>
        <w:rPr>
          <w:color w:val="0000FF"/>
          <w:spacing w:val="-6"/>
          <w:sz w:val="24"/>
          <w:u w:val="single" w:color="0000FF"/>
        </w:rPr>
        <w:t xml:space="preserve"> 号</w:t>
      </w:r>
      <w:r>
        <w:rPr>
          <w:color w:val="0000FF"/>
          <w:sz w:val="24"/>
          <w:u w:val="single" w:color="0000FF"/>
        </w:rPr>
        <w:t>）</w:t>
      </w:r>
      <w:r>
        <w:rPr>
          <w:color w:val="0000FF"/>
          <w:spacing w:val="-2"/>
          <w:sz w:val="24"/>
          <w:u w:val="single" w:color="0000FF"/>
        </w:rPr>
        <w:t xml:space="preserve"> </w:t>
      </w:r>
    </w:p>
    <w:p>
      <w:pPr>
        <w:spacing w:before="1"/>
        <w:ind w:left="2280" w:right="0" w:firstLine="0"/>
        <w:jc w:val="left"/>
        <w:outlineLvl w:val="1"/>
        <w:rPr>
          <w:rFonts w:hint="eastAsia" w:ascii="微软雅黑" w:eastAsia="微软雅黑"/>
          <w:b/>
          <w:sz w:val="24"/>
        </w:rPr>
      </w:pPr>
      <w:r>
        <w:rPr>
          <w:rFonts w:hint="eastAsia" w:ascii="微软雅黑" w:eastAsia="微软雅黑"/>
          <w:b/>
          <w:color w:val="333333"/>
          <w:sz w:val="24"/>
        </w:rPr>
        <w:t>（十）全民所有制企业公司制改制</w:t>
      </w:r>
    </w:p>
    <w:p>
      <w:pPr>
        <w:spacing w:before="181"/>
        <w:ind w:left="2280" w:right="0" w:firstLine="0"/>
        <w:jc w:val="left"/>
        <w:rPr>
          <w:rFonts w:hint="eastAsia" w:ascii="微软雅黑" w:eastAsia="微软雅黑"/>
          <w:b/>
          <w:sz w:val="24"/>
        </w:rPr>
      </w:pPr>
      <w:r>
        <w:rPr>
          <w:rFonts w:hint="eastAsia" w:ascii="微软雅黑" w:eastAsia="微软雅黑"/>
          <w:b/>
          <w:color w:val="333333"/>
          <w:sz w:val="24"/>
        </w:rPr>
        <w:t>【适用主体】</w:t>
      </w:r>
    </w:p>
    <w:p>
      <w:pPr>
        <w:pStyle w:val="3"/>
        <w:spacing w:before="182"/>
        <w:ind w:left="2280"/>
        <w:rPr>
          <w:rFonts w:hint="eastAsia" w:ascii="微软雅黑" w:eastAsia="微软雅黑"/>
        </w:rPr>
      </w:pPr>
      <w:r>
        <w:rPr>
          <w:rFonts w:hint="eastAsia" w:ascii="微软雅黑" w:eastAsia="微软雅黑"/>
          <w:color w:val="333333"/>
        </w:rPr>
        <w:t>全民所有制企业</w:t>
      </w:r>
    </w:p>
    <w:p>
      <w:pPr>
        <w:spacing w:before="181"/>
        <w:ind w:left="2280" w:right="0" w:firstLine="0"/>
        <w:jc w:val="left"/>
        <w:rPr>
          <w:rFonts w:hint="eastAsia" w:ascii="微软雅黑" w:eastAsia="微软雅黑"/>
          <w:b/>
          <w:sz w:val="24"/>
        </w:rPr>
      </w:pPr>
      <w:r>
        <w:rPr>
          <w:rFonts w:hint="eastAsia" w:ascii="微软雅黑" w:eastAsia="微软雅黑"/>
          <w:b/>
          <w:color w:val="333333"/>
          <w:sz w:val="24"/>
        </w:rPr>
        <w:t>【政策内容】</w:t>
      </w:r>
    </w:p>
    <w:p>
      <w:pPr>
        <w:spacing w:after="0"/>
        <w:jc w:val="left"/>
        <w:rPr>
          <w:rFonts w:hint="eastAsia" w:ascii="微软雅黑" w:eastAsia="微软雅黑"/>
          <w:sz w:val="24"/>
        </w:rPr>
        <w:sectPr>
          <w:footerReference r:id="rId10" w:type="default"/>
          <w:pgSz w:w="11910" w:h="16840"/>
          <w:pgMar w:top="1540" w:right="0" w:bottom="1380" w:left="0" w:header="965" w:footer="1182" w:gutter="0"/>
          <w:pgNumType w:start="40"/>
          <w:cols w:space="720" w:num="1"/>
        </w:sectPr>
      </w:pPr>
    </w:p>
    <w:p>
      <w:pPr>
        <w:pStyle w:val="3"/>
        <w:spacing w:before="11"/>
        <w:ind w:left="0"/>
        <w:rPr>
          <w:rFonts w:ascii="微软雅黑"/>
          <w:b/>
          <w:sz w:val="10"/>
        </w:rPr>
      </w:pPr>
    </w:p>
    <w:p>
      <w:pPr>
        <w:pStyle w:val="3"/>
        <w:spacing w:before="37" w:line="338" w:lineRule="auto"/>
        <w:ind w:right="1795" w:firstLine="480"/>
        <w:jc w:val="both"/>
        <w:rPr>
          <w:rFonts w:hint="eastAsia" w:ascii="微软雅黑" w:hAnsi="微软雅黑" w:eastAsia="微软雅黑"/>
        </w:rPr>
      </w:pPr>
      <w:r>
        <w:rPr>
          <w:rFonts w:hint="eastAsia" w:ascii="微软雅黑" w:hAnsi="微软雅黑" w:eastAsia="微软雅黑"/>
          <w:color w:val="333333"/>
          <w:spacing w:val="-4"/>
        </w:rPr>
        <w:t>全民所有制企业改制为国有独资公司或者国有全资子公司，属于“</w:t>
      </w:r>
      <w:r>
        <w:rPr>
          <w:rFonts w:hint="eastAsia" w:ascii="微软雅黑" w:hAnsi="微软雅黑" w:eastAsia="微软雅黑"/>
          <w:color w:val="333333"/>
          <w:spacing w:val="-12"/>
        </w:rPr>
        <w:t>（</w:t>
      </w:r>
      <w:r>
        <w:rPr>
          <w:rFonts w:hint="eastAsia" w:ascii="微软雅黑" w:hAnsi="微软雅黑" w:eastAsia="微软雅黑"/>
          <w:color w:val="333333"/>
        </w:rPr>
        <w:t>一</w:t>
      </w:r>
      <w:r>
        <w:rPr>
          <w:rFonts w:hint="eastAsia" w:ascii="微软雅黑" w:hAnsi="微软雅黑" w:eastAsia="微软雅黑"/>
          <w:color w:val="333333"/>
          <w:spacing w:val="-22"/>
        </w:rPr>
        <w:t>）</w:t>
      </w:r>
      <w:r>
        <w:rPr>
          <w:rFonts w:hint="eastAsia" w:ascii="微软雅黑" w:hAnsi="微软雅黑" w:eastAsia="微软雅黑"/>
          <w:color w:val="333333"/>
          <w:spacing w:val="-16"/>
        </w:rPr>
        <w:t>法</w:t>
      </w:r>
      <w:r>
        <w:rPr>
          <w:rFonts w:hint="eastAsia" w:ascii="微软雅黑" w:hAnsi="微软雅黑" w:eastAsia="微软雅黑"/>
          <w:color w:val="333333"/>
          <w:spacing w:val="-11"/>
        </w:rPr>
        <w:t>律形式改变”的情形的，改制中资产评估增值不计入应纳税所得额；资产的计税</w:t>
      </w:r>
      <w:r>
        <w:rPr>
          <w:rFonts w:hint="eastAsia" w:ascii="微软雅黑" w:hAnsi="微软雅黑" w:eastAsia="微软雅黑"/>
          <w:color w:val="333333"/>
        </w:rPr>
        <w:t>基础按其原有计税基础确定；资产增值部分的折旧或者摊销不得在税前扣除。</w:t>
      </w:r>
    </w:p>
    <w:p>
      <w:pPr>
        <w:spacing w:before="1"/>
        <w:ind w:left="2280" w:right="0" w:firstLine="0"/>
        <w:jc w:val="left"/>
        <w:rPr>
          <w:rFonts w:hint="eastAsia" w:ascii="微软雅黑" w:eastAsia="微软雅黑"/>
          <w:b/>
          <w:sz w:val="24"/>
        </w:rPr>
      </w:pPr>
      <w:r>
        <w:rPr>
          <w:rFonts w:hint="eastAsia" w:ascii="微软雅黑" w:eastAsia="微软雅黑"/>
          <w:b/>
          <w:color w:val="333333"/>
          <w:sz w:val="24"/>
        </w:rPr>
        <w:t>【适用条件】</w:t>
      </w:r>
    </w:p>
    <w:p>
      <w:pPr>
        <w:pStyle w:val="3"/>
        <w:spacing w:before="181" w:line="338" w:lineRule="auto"/>
        <w:ind w:right="1797" w:firstLine="480"/>
        <w:rPr>
          <w:rFonts w:hint="eastAsia" w:ascii="微软雅黑" w:eastAsia="微软雅黑"/>
        </w:rPr>
      </w:pPr>
      <w:r>
        <w:rPr>
          <w:rFonts w:hint="eastAsia" w:ascii="微软雅黑" w:eastAsia="微软雅黑"/>
          <w:color w:val="333333"/>
        </w:rPr>
        <w:t>仅适用于一个全民所有制企业整体改制为国有独资公司或者国有全资子公司的情形，即改制前后企业均为 100%国家所有。</w:t>
      </w:r>
    </w:p>
    <w:p>
      <w:pPr>
        <w:spacing w:before="1"/>
        <w:ind w:left="2280" w:right="0" w:firstLine="0"/>
        <w:jc w:val="left"/>
        <w:rPr>
          <w:rFonts w:hint="eastAsia" w:ascii="微软雅黑" w:eastAsia="微软雅黑"/>
          <w:b/>
          <w:sz w:val="24"/>
        </w:rPr>
      </w:pPr>
      <w:r>
        <w:rPr>
          <w:rFonts w:hint="eastAsia" w:ascii="微软雅黑" w:eastAsia="微软雅黑"/>
          <w:b/>
          <w:color w:val="333333"/>
          <w:sz w:val="24"/>
        </w:rPr>
        <w:t>【备查资料】</w:t>
      </w:r>
    </w:p>
    <w:p>
      <w:pPr>
        <w:pStyle w:val="3"/>
        <w:spacing w:before="181"/>
        <w:ind w:left="2280"/>
        <w:rPr>
          <w:rFonts w:hint="eastAsia" w:ascii="微软雅黑" w:eastAsia="微软雅黑"/>
        </w:rPr>
      </w:pPr>
      <w:r>
        <w:rPr>
          <w:rFonts w:hint="eastAsia" w:ascii="微软雅黑" w:eastAsia="微软雅黑"/>
          <w:color w:val="333333"/>
        </w:rPr>
        <w:t>全民所有制企业资产评估增值相关材料应由改制后的企业留存备查。</w:t>
      </w:r>
    </w:p>
    <w:p>
      <w:pPr>
        <w:spacing w:before="182"/>
        <w:ind w:left="2280" w:right="0" w:firstLine="0"/>
        <w:jc w:val="left"/>
        <w:rPr>
          <w:rFonts w:hint="eastAsia" w:ascii="微软雅黑" w:eastAsia="微软雅黑"/>
          <w:b/>
          <w:sz w:val="24"/>
        </w:rPr>
      </w:pPr>
      <w:r>
        <w:pict>
          <v:shape id="_x0000_s1072" o:spid="_x0000_s1072" o:spt="136" type="#_x0000_t136" style="position:absolute;left:0pt;margin-left:41.25pt;margin-top:32.6pt;height:132pt;width:528.05pt;mso-position-horizontal-relative:page;rotation:20643840f;z-index:-251609088;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eastAsia="微软雅黑"/>
          <w:b/>
          <w:color w:val="333333"/>
          <w:sz w:val="24"/>
        </w:rPr>
        <w:t>【政策依据】</w:t>
      </w:r>
    </w:p>
    <w:p>
      <w:pPr>
        <w:pStyle w:val="3"/>
        <w:spacing w:before="182" w:line="338" w:lineRule="auto"/>
        <w:ind w:right="1797" w:firstLine="480"/>
        <w:rPr>
          <w:rFonts w:hint="eastAsia" w:ascii="微软雅黑" w:eastAsia="微软雅黑"/>
        </w:rPr>
      </w:pPr>
      <w:r>
        <w:fldChar w:fldCharType="begin"/>
      </w:r>
      <w:r>
        <w:instrText xml:space="preserve"> HYPERLINK \l "_bookmark27" </w:instrText>
      </w:r>
      <w:r>
        <w:fldChar w:fldCharType="separate"/>
      </w:r>
      <w:r>
        <w:rPr>
          <w:rFonts w:hint="eastAsia" w:ascii="微软雅黑" w:eastAsia="微软雅黑"/>
          <w:color w:val="0000FF"/>
          <w:spacing w:val="4"/>
          <w:u w:val="single" w:color="0000FF"/>
        </w:rPr>
        <w:t>《</w:t>
      </w:r>
      <w:r>
        <w:rPr>
          <w:rFonts w:hint="eastAsia" w:ascii="微软雅黑" w:eastAsia="微软雅黑"/>
          <w:color w:val="0000FF"/>
          <w:spacing w:val="4"/>
          <w:u w:val="single" w:color="0000FF"/>
        </w:rPr>
        <w:fldChar w:fldCharType="end"/>
      </w:r>
      <w:r>
        <w:fldChar w:fldCharType="begin"/>
      </w:r>
      <w:r>
        <w:instrText xml:space="preserve"> HYPERLINK \l "_bookmark27" </w:instrText>
      </w:r>
      <w:r>
        <w:fldChar w:fldCharType="separate"/>
      </w:r>
      <w:r>
        <w:rPr>
          <w:rFonts w:hint="eastAsia" w:ascii="微软雅黑" w:eastAsia="微软雅黑"/>
          <w:color w:val="0000FF"/>
          <w:spacing w:val="2"/>
          <w:u w:val="single" w:color="0000FF"/>
        </w:rPr>
        <w:t>国家税务总局关于全民所有制企业公司制改制企业所得税处理问题的公</w:t>
      </w:r>
      <w:r>
        <w:rPr>
          <w:rFonts w:hint="eastAsia" w:ascii="微软雅黑" w:eastAsia="微软雅黑"/>
          <w:color w:val="0000FF"/>
          <w:spacing w:val="2"/>
          <w:u w:val="single" w:color="0000FF"/>
        </w:rPr>
        <w:fldChar w:fldCharType="end"/>
      </w:r>
      <w:r>
        <w:rPr>
          <w:rFonts w:hint="eastAsia" w:ascii="微软雅黑" w:eastAsia="微软雅黑"/>
          <w:color w:val="0000FF"/>
          <w:spacing w:val="-227"/>
          <w:u w:val="single" w:color="0000FF"/>
        </w:rPr>
        <w:t>告》</w:t>
      </w:r>
      <w:r>
        <w:rPr>
          <w:rFonts w:hint="eastAsia" w:ascii="微软雅黑" w:eastAsia="微软雅黑"/>
          <w:color w:val="0000FF"/>
          <w:u w:val="single" w:color="0000FF"/>
        </w:rPr>
        <w:t>（</w:t>
      </w:r>
      <w:r>
        <w:rPr>
          <w:rFonts w:hint="eastAsia" w:ascii="微软雅黑" w:eastAsia="微软雅黑"/>
          <w:color w:val="0000FF"/>
          <w:spacing w:val="-2"/>
          <w:u w:val="single" w:color="0000FF"/>
        </w:rPr>
        <w:t xml:space="preserve">国家税务总局公告 </w:t>
      </w:r>
      <w:r>
        <w:rPr>
          <w:rFonts w:hint="eastAsia" w:ascii="微软雅黑" w:eastAsia="微软雅黑"/>
          <w:color w:val="0000FF"/>
          <w:u w:val="single" w:color="0000FF"/>
        </w:rPr>
        <w:t>2017</w:t>
      </w:r>
      <w:r>
        <w:rPr>
          <w:rFonts w:hint="eastAsia" w:ascii="微软雅黑" w:eastAsia="微软雅黑"/>
          <w:color w:val="0000FF"/>
          <w:spacing w:val="-7"/>
          <w:u w:val="single" w:color="0000FF"/>
        </w:rPr>
        <w:t xml:space="preserve"> 年第 </w:t>
      </w:r>
      <w:r>
        <w:rPr>
          <w:rFonts w:hint="eastAsia" w:ascii="微软雅黑" w:eastAsia="微软雅黑"/>
          <w:color w:val="0000FF"/>
          <w:u w:val="single" w:color="0000FF"/>
        </w:rPr>
        <w:t>34</w:t>
      </w:r>
      <w:r>
        <w:rPr>
          <w:rFonts w:hint="eastAsia" w:ascii="微软雅黑" w:eastAsia="微软雅黑"/>
          <w:color w:val="0000FF"/>
          <w:spacing w:val="-6"/>
          <w:u w:val="single" w:color="0000FF"/>
        </w:rPr>
        <w:t xml:space="preserve"> 号</w:t>
      </w:r>
      <w:r>
        <w:rPr>
          <w:rFonts w:hint="eastAsia" w:ascii="微软雅黑" w:eastAsia="微软雅黑"/>
          <w:color w:val="0000FF"/>
          <w:u w:val="single" w:color="0000FF"/>
        </w:rPr>
        <w:t>）</w:t>
      </w:r>
    </w:p>
    <w:p>
      <w:pPr>
        <w:spacing w:after="0" w:line="338" w:lineRule="auto"/>
        <w:rPr>
          <w:rFonts w:hint="eastAsia" w:ascii="微软雅黑" w:eastAsia="微软雅黑"/>
        </w:rPr>
        <w:sectPr>
          <w:pgSz w:w="11910" w:h="16840"/>
          <w:pgMar w:top="1540" w:right="0" w:bottom="1380" w:left="0" w:header="965" w:footer="1182" w:gutter="0"/>
          <w:cols w:space="720" w:num="1"/>
        </w:sectPr>
      </w:pPr>
    </w:p>
    <w:p>
      <w:pPr>
        <w:pStyle w:val="3"/>
        <w:spacing w:before="11"/>
        <w:ind w:left="0"/>
        <w:rPr>
          <w:rFonts w:ascii="微软雅黑"/>
          <w:sz w:val="10"/>
        </w:rPr>
      </w:pPr>
    </w:p>
    <w:p>
      <w:pPr>
        <w:pStyle w:val="2"/>
        <w:spacing w:before="37"/>
        <w:ind w:left="0" w:right="1"/>
        <w:jc w:val="center"/>
      </w:pPr>
      <w:bookmarkStart w:id="13" w:name="附件"/>
      <w:bookmarkEnd w:id="13"/>
      <w:bookmarkStart w:id="14" w:name="_bookmark6"/>
      <w:bookmarkEnd w:id="14"/>
      <w:r>
        <w:t>附件</w:t>
      </w:r>
    </w:p>
    <w:p>
      <w:pPr>
        <w:pStyle w:val="3"/>
        <w:ind w:left="0"/>
        <w:rPr>
          <w:rFonts w:ascii="微软雅黑"/>
          <w:b/>
          <w:sz w:val="25"/>
        </w:rPr>
      </w:pPr>
    </w:p>
    <w:p>
      <w:pPr>
        <w:pStyle w:val="2"/>
      </w:pPr>
      <w:r>
        <w:rPr>
          <w:color w:val="333333"/>
        </w:rPr>
        <w:t>【政策依据】增值税</w:t>
      </w:r>
    </w:p>
    <w:p>
      <w:pPr>
        <w:pStyle w:val="8"/>
        <w:numPr>
          <w:ilvl w:val="0"/>
          <w:numId w:val="56"/>
        </w:numPr>
        <w:tabs>
          <w:tab w:val="left" w:pos="2481"/>
        </w:tabs>
        <w:spacing w:before="181" w:after="0" w:line="338" w:lineRule="auto"/>
        <w:ind w:left="1800" w:right="1795" w:firstLine="480"/>
        <w:jc w:val="left"/>
        <w:rPr>
          <w:sz w:val="24"/>
        </w:rPr>
      </w:pPr>
      <w:bookmarkStart w:id="15" w:name="_bookmark7"/>
      <w:bookmarkEnd w:id="15"/>
      <w:bookmarkStart w:id="16" w:name="_bookmark7"/>
      <w:bookmarkEnd w:id="16"/>
      <w:r>
        <w:rPr>
          <w:color w:val="333333"/>
          <w:spacing w:val="-2"/>
          <w:sz w:val="24"/>
        </w:rPr>
        <w:t>《国家税务总局关于纳税人资产重组有关增值税问题的公告》</w:t>
      </w:r>
      <w:r>
        <w:rPr>
          <w:color w:val="333333"/>
          <w:sz w:val="24"/>
        </w:rPr>
        <w:t>（</w:t>
      </w:r>
      <w:r>
        <w:rPr>
          <w:color w:val="333333"/>
          <w:spacing w:val="-4"/>
          <w:sz w:val="24"/>
        </w:rPr>
        <w:t>国家税务</w:t>
      </w:r>
      <w:r>
        <w:rPr>
          <w:color w:val="333333"/>
          <w:spacing w:val="-3"/>
          <w:sz w:val="24"/>
        </w:rPr>
        <w:t xml:space="preserve">总局公告 </w:t>
      </w:r>
      <w:r>
        <w:rPr>
          <w:color w:val="333333"/>
          <w:sz w:val="24"/>
        </w:rPr>
        <w:t>2011</w:t>
      </w:r>
      <w:r>
        <w:rPr>
          <w:color w:val="333333"/>
          <w:spacing w:val="-7"/>
          <w:sz w:val="24"/>
        </w:rPr>
        <w:t xml:space="preserve"> 年第 </w:t>
      </w:r>
      <w:r>
        <w:rPr>
          <w:color w:val="333333"/>
          <w:sz w:val="24"/>
        </w:rPr>
        <w:t>13</w:t>
      </w:r>
      <w:r>
        <w:rPr>
          <w:color w:val="333333"/>
          <w:spacing w:val="-6"/>
          <w:sz w:val="24"/>
        </w:rPr>
        <w:t xml:space="preserve"> 号</w:t>
      </w:r>
      <w:r>
        <w:rPr>
          <w:color w:val="333333"/>
          <w:sz w:val="24"/>
        </w:rPr>
        <w:t>）</w:t>
      </w:r>
    </w:p>
    <w:p>
      <w:pPr>
        <w:pStyle w:val="3"/>
        <w:spacing w:before="0" w:line="364" w:lineRule="auto"/>
        <w:ind w:right="1797" w:firstLine="480"/>
      </w:pPr>
      <w:r>
        <w:rPr>
          <w:spacing w:val="-16"/>
        </w:rPr>
        <w:t>根据</w:t>
      </w:r>
      <w:r>
        <w:fldChar w:fldCharType="begin"/>
      </w:r>
      <w:r>
        <w:instrText xml:space="preserve"> HYPERLINK "http://code.fabao365.com/search/wd%3D%E4%B8%AD%E5%8D%8E%E4%BA%BA%E6%B0%91%E5%85%B1%E5%92%8C%E5%9B%BD%E5%A2%9E%E5%80%BC%E7%A8%8E%E6%9A%82%E8%A1%8C%E6%9D%A1%E4%BE%8B" \h </w:instrText>
      </w:r>
      <w:r>
        <w:fldChar w:fldCharType="separate"/>
      </w:r>
      <w:r>
        <w:t>《中华人民共和国增值税暂行条例</w:t>
      </w:r>
      <w:r>
        <w:fldChar w:fldCharType="end"/>
      </w:r>
      <w:r>
        <w:rPr>
          <w:spacing w:val="-10"/>
        </w:rPr>
        <w:t>》及其实施细则的有关规定，现将纳</w:t>
      </w:r>
      <w:r>
        <w:t>税人资产重组有关增值税问题公告如下：</w:t>
      </w:r>
    </w:p>
    <w:p>
      <w:pPr>
        <w:pStyle w:val="3"/>
        <w:spacing w:before="0" w:line="364" w:lineRule="auto"/>
        <w:ind w:right="1797" w:firstLine="480"/>
        <w:jc w:val="both"/>
      </w:pPr>
      <w:r>
        <w:rPr>
          <w:spacing w:val="-8"/>
        </w:rPr>
        <w:t>纳税人在资产重组过程中，通过合并、分立、出售、置换等方式，将全部或</w:t>
      </w:r>
      <w:r>
        <w:rPr>
          <w:spacing w:val="-7"/>
        </w:rPr>
        <w:t>者部分实物资产以及与其相关联的债权、负债和劳动力一并转让给其他单位和个</w:t>
      </w:r>
      <w:r>
        <w:t>人，不属于增值税的征税范围，其中涉及的货物转让，不征收增值税。</w:t>
      </w:r>
    </w:p>
    <w:p>
      <w:pPr>
        <w:pStyle w:val="3"/>
        <w:spacing w:before="0" w:line="364" w:lineRule="auto"/>
        <w:ind w:right="1795" w:firstLine="480"/>
        <w:jc w:val="both"/>
      </w:pPr>
      <w:r>
        <w:pict>
          <v:shape id="_x0000_s1073" o:spid="_x0000_s1073" o:spt="136" type="#_x0000_t136" style="position:absolute;left:0pt;margin-left:41.25pt;margin-top:17.75pt;height:132pt;width:528.05pt;mso-position-horizontal-relative:page;rotation:20643840f;z-index:-251608064;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spacing w:val="-12"/>
        </w:rPr>
        <w:t xml:space="preserve">本公告自 </w:t>
      </w:r>
      <w:r>
        <w:rPr>
          <w:rFonts w:ascii="Calibri" w:eastAsia="Calibri"/>
        </w:rPr>
        <w:t xml:space="preserve">2011 </w:t>
      </w:r>
      <w:r>
        <w:rPr>
          <w:spacing w:val="-29"/>
        </w:rPr>
        <w:t xml:space="preserve">年 </w:t>
      </w:r>
      <w:r>
        <w:rPr>
          <w:rFonts w:ascii="Calibri" w:eastAsia="Calibri"/>
        </w:rPr>
        <w:t xml:space="preserve">3 </w:t>
      </w:r>
      <w:r>
        <w:rPr>
          <w:spacing w:val="-29"/>
        </w:rPr>
        <w:t xml:space="preserve">月 </w:t>
      </w:r>
      <w:r>
        <w:rPr>
          <w:rFonts w:ascii="Calibri" w:eastAsia="Calibri"/>
        </w:rPr>
        <w:t xml:space="preserve">1 </w:t>
      </w:r>
      <w:r>
        <w:rPr>
          <w:spacing w:val="-1"/>
        </w:rPr>
        <w:t>日起执行。此前未作处理的，按照本公告的规定执</w:t>
      </w:r>
      <w:r>
        <w:rPr>
          <w:spacing w:val="-24"/>
        </w:rPr>
        <w:t>行。</w:t>
      </w:r>
      <w:r>
        <w:fldChar w:fldCharType="begin"/>
      </w:r>
      <w:r>
        <w:instrText xml:space="preserve"> HYPERLINK "http://code.fabao365.com/search/wd%3D%E5%9B%BD%E5%AE%B6%E7%A8%8E%E5%8A%A1%E6%80%BB%E5%B1%80%E5%85%B3%E4%BA%8E%E8%BD%AC%E8%AE%A9%E4%BC%81%E4%B8%9A%E5%85%A8%E9%83%A8%E4%BA%A7%E6%9D%83%E4%B8%8D%E5%BE%81%E6%94%B6%E5%A2%9E%E5%80%BC%E7%A8%8E%E9%97%AE%E9%A2%98%E7%9A%84%E6%89%B9%E5%A4%8D" \h </w:instrText>
      </w:r>
      <w:r>
        <w:fldChar w:fldCharType="separate"/>
      </w:r>
      <w:r>
        <w:t>《国家税务总局关于转让企业全部产权不征收增值税问题的批复</w:t>
      </w:r>
      <w:r>
        <w:fldChar w:fldCharType="end"/>
      </w:r>
      <w:r>
        <w:rPr>
          <w:spacing w:val="-46"/>
        </w:rPr>
        <w:t>》</w:t>
      </w:r>
      <w:r>
        <w:rPr>
          <w:spacing w:val="-3"/>
        </w:rPr>
        <w:t>（</w:t>
      </w:r>
      <w:r>
        <w:rPr>
          <w:spacing w:val="-5"/>
        </w:rPr>
        <w:t>国税函</w:t>
      </w:r>
    </w:p>
    <w:p>
      <w:pPr>
        <w:pStyle w:val="3"/>
        <w:spacing w:before="0" w:line="364" w:lineRule="auto"/>
        <w:ind w:right="1790"/>
        <w:jc w:val="both"/>
      </w:pPr>
      <w:r>
        <w:t>〔</w:t>
      </w:r>
      <w:r>
        <w:rPr>
          <w:rFonts w:ascii="Calibri" w:eastAsia="Calibri"/>
        </w:rPr>
        <w:t>2002</w:t>
      </w:r>
      <w:r>
        <w:rPr>
          <w:spacing w:val="-12"/>
        </w:rPr>
        <w:t>〕</w:t>
      </w:r>
      <w:r>
        <w:rPr>
          <w:rFonts w:ascii="Calibri" w:eastAsia="Calibri"/>
        </w:rPr>
        <w:t xml:space="preserve">420 </w:t>
      </w:r>
      <w:r>
        <w:t>号</w:t>
      </w:r>
      <w:r>
        <w:rPr>
          <w:spacing w:val="-10"/>
        </w:rPr>
        <w:t>）</w:t>
      </w:r>
      <w:r>
        <w:rPr>
          <w:spacing w:val="-24"/>
        </w:rPr>
        <w:t>、</w:t>
      </w:r>
      <w:r>
        <w:fldChar w:fldCharType="begin"/>
      </w:r>
      <w:r>
        <w:instrText xml:space="preserve"> HYPERLINK "http://code.fabao365.com/search/wd%3D%E5%9B%BD%E5%AE%B6%E7%A8%8E%E5%8A%A1%E6%80%BB%E5%B1%80%E5%85%B3%E4%BA%8E%E7%BA%B3%E7%A8%8E%E4%BA%BA%E8%B5%84%E4%BA%A7%E9%87%8D%E7%BB%84%E6%9C%89%E5%85%B3%E5%A2%9E%E5%80%BC%E7%A8%8E%E6%94%BF%E7%AD%96%E9%97%AE%E9%A2%98%E7%9A%84%E6%89%B9%E5%A4%8D" \h </w:instrText>
      </w:r>
      <w:r>
        <w:fldChar w:fldCharType="separate"/>
      </w:r>
      <w:r>
        <w:t>《国家税务总局关于纳税人资产重组有关增值税政策问题的</w:t>
      </w:r>
      <w:r>
        <w:fldChar w:fldCharType="end"/>
      </w:r>
      <w:r>
        <w:rPr>
          <w:spacing w:val="-4"/>
        </w:rPr>
        <w:t>批复》</w:t>
      </w:r>
      <w:r>
        <w:t>（</w:t>
      </w:r>
      <w:r>
        <w:rPr>
          <w:spacing w:val="-3"/>
        </w:rPr>
        <w:t>国税函〔</w:t>
      </w:r>
      <w:r>
        <w:rPr>
          <w:rFonts w:ascii="Calibri" w:eastAsia="Calibri"/>
        </w:rPr>
        <w:t>2009</w:t>
      </w:r>
      <w:r>
        <w:rPr>
          <w:spacing w:val="-5"/>
        </w:rPr>
        <w:t>〕</w:t>
      </w:r>
      <w:r>
        <w:rPr>
          <w:rFonts w:ascii="Calibri" w:eastAsia="Calibri"/>
        </w:rPr>
        <w:t xml:space="preserve">585 </w:t>
      </w:r>
      <w:r>
        <w:t>号</w:t>
      </w:r>
      <w:r>
        <w:rPr>
          <w:spacing w:val="-8"/>
        </w:rPr>
        <w:t>）</w:t>
      </w:r>
      <w:r>
        <w:rPr>
          <w:spacing w:val="-12"/>
        </w:rPr>
        <w:t>、</w:t>
      </w:r>
      <w:r>
        <w:fldChar w:fldCharType="begin"/>
      </w:r>
      <w:r>
        <w:instrText xml:space="preserve"> HYPERLINK "http://code.fabao365.com/search/wd%3D%E5%9B%BD%E5%AE%B6%E7%A8%8E%E5%8A%A1%E6%80%BB%E5%B1%80%E5%85%B3%E4%BA%8E%E4%B8%AD%E5%9B%BD%E7%9B%B4%E6%92%AD%E5%8D%AB%E6%98%9F%E6%9C%89%E9%99%90%E5%85%AC%E5%8F%B8%E8%BD%AC%E8%AE%A9%E5%85%A8%E9%83%A8%E4%BA%A7%E6%9D%83%E6%9C%89%E5%85%B3%E5%A2%9E%E5%80%BC%E7%A8%8E%E9%97%AE%E9%A2%98%E7%9A%84%E9%80%9A%E7%9F%A5" \h </w:instrText>
      </w:r>
      <w:r>
        <w:fldChar w:fldCharType="separate"/>
      </w:r>
      <w:r>
        <w:rPr>
          <w:spacing w:val="-1"/>
        </w:rPr>
        <w:t>《国家税务总局关于中国直播卫星有限公司</w:t>
      </w:r>
      <w:r>
        <w:rPr>
          <w:spacing w:val="-1"/>
        </w:rPr>
        <w:fldChar w:fldCharType="end"/>
      </w:r>
      <w:r>
        <w:rPr>
          <w:spacing w:val="-1"/>
        </w:rPr>
        <w:t>转让全部产权有关增值税问题的通知》</w:t>
      </w:r>
      <w:r>
        <w:rPr>
          <w:spacing w:val="-3"/>
        </w:rPr>
        <w:t>（国税函〔</w:t>
      </w:r>
      <w:r>
        <w:rPr>
          <w:rFonts w:ascii="Calibri" w:eastAsia="Calibri"/>
        </w:rPr>
        <w:t>2010</w:t>
      </w:r>
      <w:r>
        <w:rPr>
          <w:spacing w:val="-8"/>
        </w:rPr>
        <w:t>〕</w:t>
      </w:r>
      <w:r>
        <w:rPr>
          <w:rFonts w:ascii="Calibri" w:eastAsia="Calibri"/>
        </w:rPr>
        <w:t xml:space="preserve">350 </w:t>
      </w:r>
      <w:r>
        <w:t>号</w:t>
      </w:r>
      <w:r>
        <w:rPr>
          <w:spacing w:val="-8"/>
        </w:rPr>
        <w:t>）</w:t>
      </w:r>
      <w:r>
        <w:t>同时废止。</w:t>
      </w:r>
    </w:p>
    <w:p>
      <w:pPr>
        <w:pStyle w:val="3"/>
        <w:spacing w:before="0"/>
        <w:ind w:left="2280"/>
      </w:pPr>
      <w:r>
        <w:t>特此公告。</w:t>
      </w:r>
    </w:p>
    <w:p>
      <w:pPr>
        <w:pStyle w:val="8"/>
        <w:numPr>
          <w:ilvl w:val="0"/>
          <w:numId w:val="56"/>
        </w:numPr>
        <w:tabs>
          <w:tab w:val="left" w:pos="2481"/>
        </w:tabs>
        <w:spacing w:before="167" w:after="0" w:line="338" w:lineRule="auto"/>
        <w:ind w:left="1800" w:right="1795" w:firstLine="480"/>
        <w:jc w:val="left"/>
        <w:rPr>
          <w:sz w:val="24"/>
        </w:rPr>
      </w:pPr>
      <w:bookmarkStart w:id="17" w:name="_bookmark8"/>
      <w:bookmarkEnd w:id="17"/>
      <w:bookmarkStart w:id="18" w:name="_bookmark8"/>
      <w:bookmarkEnd w:id="18"/>
      <w:r>
        <w:rPr>
          <w:color w:val="333333"/>
          <w:spacing w:val="-2"/>
          <w:sz w:val="24"/>
        </w:rPr>
        <w:t>《国家税务总局关于纳税人资产重组有关增值税问题的公告》</w:t>
      </w:r>
      <w:r>
        <w:rPr>
          <w:color w:val="333333"/>
          <w:sz w:val="24"/>
        </w:rPr>
        <w:t>（</w:t>
      </w:r>
      <w:r>
        <w:rPr>
          <w:color w:val="333333"/>
          <w:spacing w:val="-4"/>
          <w:sz w:val="24"/>
        </w:rPr>
        <w:t>国家税务</w:t>
      </w:r>
      <w:r>
        <w:rPr>
          <w:color w:val="333333"/>
          <w:spacing w:val="-3"/>
          <w:sz w:val="24"/>
        </w:rPr>
        <w:t xml:space="preserve">总局公告 </w:t>
      </w:r>
      <w:r>
        <w:rPr>
          <w:color w:val="333333"/>
          <w:sz w:val="24"/>
        </w:rPr>
        <w:t>2013</w:t>
      </w:r>
      <w:r>
        <w:rPr>
          <w:color w:val="333333"/>
          <w:spacing w:val="-7"/>
          <w:sz w:val="24"/>
        </w:rPr>
        <w:t xml:space="preserve"> 年第 </w:t>
      </w:r>
      <w:r>
        <w:rPr>
          <w:color w:val="333333"/>
          <w:sz w:val="24"/>
        </w:rPr>
        <w:t>66</w:t>
      </w:r>
      <w:r>
        <w:rPr>
          <w:color w:val="333333"/>
          <w:spacing w:val="-6"/>
          <w:sz w:val="24"/>
        </w:rPr>
        <w:t xml:space="preserve"> 号</w:t>
      </w:r>
      <w:r>
        <w:rPr>
          <w:color w:val="333333"/>
          <w:sz w:val="24"/>
        </w:rPr>
        <w:t>）</w:t>
      </w:r>
    </w:p>
    <w:p>
      <w:pPr>
        <w:pStyle w:val="3"/>
        <w:spacing w:before="0" w:line="298" w:lineRule="exact"/>
        <w:ind w:left="2280"/>
      </w:pPr>
      <w:r>
        <w:t>现将纳税人资产重组有关增值税问题公告如下：</w:t>
      </w:r>
    </w:p>
    <w:p>
      <w:pPr>
        <w:pStyle w:val="3"/>
        <w:spacing w:before="161" w:line="364" w:lineRule="auto"/>
        <w:ind w:right="1795" w:firstLine="480"/>
        <w:jc w:val="both"/>
      </w:pPr>
      <w:r>
        <w:rPr>
          <w:spacing w:val="-8"/>
        </w:rPr>
        <w:t>纳税人在资产重组过程中，通过合并、分立、出售、置换等方式，将全部或</w:t>
      </w:r>
      <w:r>
        <w:rPr>
          <w:spacing w:val="-6"/>
        </w:rPr>
        <w:t>者部分实物资产以及与其相关联的债权、负债经多次转让后，最终的受让方与劳</w:t>
      </w:r>
      <w:r>
        <w:rPr>
          <w:spacing w:val="-8"/>
        </w:rPr>
        <w:t>动力接收方为同一单位和个人的，仍适用《国家税务总局关于纳税人资产重组有</w:t>
      </w:r>
      <w:r>
        <w:rPr>
          <w:spacing w:val="-6"/>
        </w:rPr>
        <w:t>关增值税问题的公告》</w:t>
      </w:r>
      <w:r>
        <w:t>（</w:t>
      </w:r>
      <w:r>
        <w:rPr>
          <w:spacing w:val="-7"/>
        </w:rPr>
        <w:t xml:space="preserve">国家税务总局公告 </w:t>
      </w:r>
      <w:r>
        <w:rPr>
          <w:rFonts w:ascii="Calibri" w:eastAsia="Calibri"/>
        </w:rPr>
        <w:t xml:space="preserve">2011 </w:t>
      </w:r>
      <w:r>
        <w:rPr>
          <w:spacing w:val="-20"/>
        </w:rPr>
        <w:t xml:space="preserve">年第 </w:t>
      </w:r>
      <w:r>
        <w:rPr>
          <w:rFonts w:ascii="Calibri" w:eastAsia="Calibri"/>
        </w:rPr>
        <w:t xml:space="preserve">13 </w:t>
      </w:r>
      <w:r>
        <w:t>号</w:t>
      </w:r>
      <w:r>
        <w:rPr>
          <w:spacing w:val="-24"/>
        </w:rPr>
        <w:t>）</w:t>
      </w:r>
      <w:r>
        <w:rPr>
          <w:spacing w:val="-7"/>
        </w:rPr>
        <w:t>的相关规定，其中货物的多次转让行为均不征收增值税。资产的出让方需将资产重组方案等文件资</w:t>
      </w:r>
      <w:r>
        <w:t>料报其主管税务机关。</w:t>
      </w:r>
    </w:p>
    <w:p>
      <w:pPr>
        <w:pStyle w:val="3"/>
        <w:spacing w:before="3"/>
        <w:ind w:left="2280"/>
        <w:jc w:val="both"/>
      </w:pPr>
      <w:r>
        <w:t xml:space="preserve">本公告自 </w:t>
      </w:r>
      <w:r>
        <w:rPr>
          <w:rFonts w:ascii="Calibri" w:eastAsia="Calibri"/>
        </w:rPr>
        <w:t xml:space="preserve">2013 </w:t>
      </w:r>
      <w:r>
        <w:t xml:space="preserve">年 </w:t>
      </w:r>
      <w:r>
        <w:rPr>
          <w:rFonts w:ascii="Calibri" w:eastAsia="Calibri"/>
        </w:rPr>
        <w:t xml:space="preserve">12 </w:t>
      </w:r>
      <w:r>
        <w:t xml:space="preserve">月 </w:t>
      </w:r>
      <w:r>
        <w:rPr>
          <w:rFonts w:ascii="Calibri" w:eastAsia="Calibri"/>
        </w:rPr>
        <w:t xml:space="preserve">1 </w:t>
      </w:r>
      <w:r>
        <w:t>日起施行。纳税人此前已发生并处理的事项，不再</w:t>
      </w:r>
    </w:p>
    <w:p>
      <w:pPr>
        <w:spacing w:after="0"/>
        <w:jc w:val="both"/>
        <w:sectPr>
          <w:pgSz w:w="11910" w:h="16840"/>
          <w:pgMar w:top="1540" w:right="0" w:bottom="1380" w:left="0" w:header="965" w:footer="1182" w:gutter="0"/>
          <w:cols w:space="720" w:num="1"/>
        </w:sectPr>
      </w:pPr>
    </w:p>
    <w:p>
      <w:pPr>
        <w:pStyle w:val="3"/>
        <w:spacing w:before="2"/>
        <w:ind w:left="0"/>
        <w:rPr>
          <w:sz w:val="12"/>
        </w:rPr>
      </w:pPr>
    </w:p>
    <w:p>
      <w:pPr>
        <w:pStyle w:val="3"/>
        <w:spacing w:before="67" w:line="364" w:lineRule="auto"/>
        <w:ind w:left="2280" w:right="5785" w:hanging="480"/>
      </w:pPr>
      <w:r>
        <w:t>做调整；未处理的，按本公告规定执行。特此公告。</w:t>
      </w:r>
    </w:p>
    <w:p>
      <w:pPr>
        <w:pStyle w:val="8"/>
        <w:numPr>
          <w:ilvl w:val="0"/>
          <w:numId w:val="56"/>
        </w:numPr>
        <w:tabs>
          <w:tab w:val="left" w:pos="2484"/>
        </w:tabs>
        <w:spacing w:before="11" w:after="0" w:line="338" w:lineRule="auto"/>
        <w:ind w:left="1800" w:right="1797" w:firstLine="480"/>
        <w:jc w:val="left"/>
        <w:rPr>
          <w:sz w:val="24"/>
        </w:rPr>
      </w:pPr>
      <w:bookmarkStart w:id="19" w:name="_bookmark9"/>
      <w:bookmarkEnd w:id="19"/>
      <w:bookmarkStart w:id="20" w:name="_bookmark9"/>
      <w:bookmarkEnd w:id="20"/>
      <w:r>
        <w:rPr>
          <w:color w:val="333333"/>
          <w:spacing w:val="3"/>
          <w:sz w:val="24"/>
        </w:rPr>
        <w:t>《国家税务总局关于纳税人资产重组增值税留抵税额处理有关问题的公告》（</w:t>
      </w:r>
      <w:r>
        <w:rPr>
          <w:color w:val="333333"/>
          <w:spacing w:val="1"/>
          <w:sz w:val="24"/>
        </w:rPr>
        <w:t xml:space="preserve">国家税务总局公告 </w:t>
      </w:r>
      <w:r>
        <w:rPr>
          <w:color w:val="333333"/>
          <w:sz w:val="24"/>
        </w:rPr>
        <w:t>2012</w:t>
      </w:r>
      <w:r>
        <w:rPr>
          <w:color w:val="333333"/>
          <w:spacing w:val="-7"/>
          <w:sz w:val="24"/>
        </w:rPr>
        <w:t xml:space="preserve"> 年第 </w:t>
      </w:r>
      <w:r>
        <w:rPr>
          <w:color w:val="333333"/>
          <w:sz w:val="24"/>
        </w:rPr>
        <w:t>55</w:t>
      </w:r>
      <w:r>
        <w:rPr>
          <w:color w:val="333333"/>
          <w:spacing w:val="-6"/>
          <w:sz w:val="24"/>
        </w:rPr>
        <w:t xml:space="preserve"> 号</w:t>
      </w:r>
      <w:r>
        <w:rPr>
          <w:color w:val="333333"/>
          <w:sz w:val="24"/>
        </w:rPr>
        <w:t>）</w:t>
      </w:r>
    </w:p>
    <w:p>
      <w:pPr>
        <w:pStyle w:val="3"/>
        <w:spacing w:before="0" w:line="298" w:lineRule="exact"/>
        <w:ind w:left="2280"/>
      </w:pPr>
      <w:r>
        <w:t>现将纳税人资产重组中增值税留抵税额处理有关问题公告如下：</w:t>
      </w:r>
    </w:p>
    <w:p>
      <w:pPr>
        <w:pStyle w:val="3"/>
        <w:spacing w:before="160" w:line="364" w:lineRule="auto"/>
        <w:ind w:right="1675" w:firstLine="283"/>
      </w:pPr>
      <w:r>
        <w:rPr>
          <w:spacing w:val="-13"/>
        </w:rPr>
        <w:t>一、增值税一般纳税人</w:t>
      </w:r>
      <w:r>
        <w:t>（以下称</w:t>
      </w:r>
      <w:r>
        <w:rPr>
          <w:rFonts w:ascii="Calibri" w:hAnsi="Calibri" w:eastAsia="Calibri"/>
        </w:rPr>
        <w:t>“</w:t>
      </w:r>
      <w:r>
        <w:t>原纳税人</w:t>
      </w:r>
      <w:r>
        <w:rPr>
          <w:rFonts w:ascii="Calibri" w:hAnsi="Calibri" w:eastAsia="Calibri"/>
          <w:spacing w:val="-28"/>
        </w:rPr>
        <w:t>”</w:t>
      </w:r>
      <w:r>
        <w:rPr>
          <w:spacing w:val="-28"/>
        </w:rPr>
        <w:t>）</w:t>
      </w:r>
      <w:r>
        <w:rPr>
          <w:spacing w:val="-8"/>
        </w:rPr>
        <w:t>在资产重组过程中，将全部资产、</w:t>
      </w:r>
      <w:r>
        <w:rPr>
          <w:spacing w:val="-1"/>
        </w:rPr>
        <w:t>负债和劳动力一并转让给其他增值税一般纳税人</w:t>
      </w:r>
      <w:r>
        <w:t>（以下称</w:t>
      </w:r>
      <w:r>
        <w:rPr>
          <w:rFonts w:ascii="Calibri" w:hAnsi="Calibri" w:eastAsia="Calibri"/>
        </w:rPr>
        <w:t>“</w:t>
      </w:r>
      <w:r>
        <w:t>新纳税人</w:t>
      </w:r>
      <w:r>
        <w:rPr>
          <w:rFonts w:ascii="Calibri" w:hAnsi="Calibri" w:eastAsia="Calibri"/>
          <w:spacing w:val="-13"/>
        </w:rPr>
        <w:t>”</w:t>
      </w:r>
      <w:r>
        <w:rPr>
          <w:spacing w:val="-13"/>
        </w:rPr>
        <w:t>）</w:t>
      </w:r>
      <w:r>
        <w:rPr>
          <w:spacing w:val="-4"/>
        </w:rPr>
        <w:t>，并按程</w:t>
      </w:r>
      <w:r>
        <w:rPr>
          <w:spacing w:val="-12"/>
        </w:rPr>
        <w:t>序办理注销税务登记的，其在办理注销登记前尚未抵扣的进项税额可结转至新纳税人处继续抵扣。</w:t>
      </w:r>
    </w:p>
    <w:p>
      <w:pPr>
        <w:pStyle w:val="3"/>
        <w:spacing w:before="3" w:line="364" w:lineRule="auto"/>
        <w:ind w:right="1797" w:firstLine="292"/>
        <w:jc w:val="both"/>
      </w:pPr>
      <w:r>
        <w:pict>
          <v:shape id="_x0000_s1074" o:spid="_x0000_s1074" o:spt="136" type="#_x0000_t136" style="position:absolute;left:0pt;margin-left:41.25pt;margin-top:47.55pt;height:132pt;width:528.05pt;mso-position-horizontal-relative:page;rotation:20643840f;z-index:-251607040;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t>二、原纳税人主管税务机关应认真核查纳税人资产重组相关资料，核实原纳</w:t>
      </w:r>
      <w:r>
        <w:rPr>
          <w:spacing w:val="-6"/>
        </w:rPr>
        <w:t>税人在办理注销税务登记前尚未抵扣的进项税额，填写《增值税一般纳税人资产</w:t>
      </w:r>
      <w:r>
        <w:t>重组进项留抵税额转移单》（见附件）。</w:t>
      </w:r>
    </w:p>
    <w:p>
      <w:pPr>
        <w:pStyle w:val="3"/>
        <w:spacing w:line="364" w:lineRule="auto"/>
        <w:ind w:right="1797" w:firstLine="292"/>
      </w:pPr>
      <w:r>
        <w:t>《增值税一般纳税人资产重组进项留抵税额转移单》一式三份，原纳税人主管税务机关留存一份，交纳税人一份，传递新纳税人主管税务机关一份。</w:t>
      </w:r>
    </w:p>
    <w:p>
      <w:pPr>
        <w:pStyle w:val="3"/>
        <w:spacing w:before="2" w:line="364" w:lineRule="auto"/>
        <w:ind w:right="1797" w:firstLine="292"/>
        <w:jc w:val="both"/>
      </w:pPr>
      <w:r>
        <w:t>三、新纳税人主管税务机关应将原纳税人主管税务机关传递来的《增值税一</w:t>
      </w:r>
      <w:r>
        <w:rPr>
          <w:spacing w:val="-6"/>
        </w:rPr>
        <w:t>般纳税人资产重组进项留抵税额转移单》与纳税人报送资料进行认真核对，对原</w:t>
      </w:r>
      <w:r>
        <w:t>纳税人尚未抵扣的进项税额，在确认无误后，允许新纳税人继续申报抵扣。</w:t>
      </w:r>
    </w:p>
    <w:p>
      <w:pPr>
        <w:pStyle w:val="3"/>
        <w:spacing w:line="364" w:lineRule="auto"/>
        <w:ind w:left="2080" w:right="6091"/>
        <w:jc w:val="both"/>
      </w:pPr>
      <w:r>
        <w:rPr>
          <w:spacing w:val="-12"/>
        </w:rPr>
        <w:t xml:space="preserve">本公告自 </w:t>
      </w:r>
      <w:r>
        <w:rPr>
          <w:rFonts w:ascii="Calibri" w:eastAsia="Calibri"/>
        </w:rPr>
        <w:t xml:space="preserve">2013 </w:t>
      </w:r>
      <w:r>
        <w:rPr>
          <w:spacing w:val="-30"/>
        </w:rPr>
        <w:t xml:space="preserve">年 </w:t>
      </w:r>
      <w:r>
        <w:rPr>
          <w:rFonts w:ascii="Calibri" w:eastAsia="Calibri"/>
        </w:rPr>
        <w:t xml:space="preserve">1 </w:t>
      </w:r>
      <w:r>
        <w:rPr>
          <w:spacing w:val="-30"/>
        </w:rPr>
        <w:t xml:space="preserve">月 </w:t>
      </w:r>
      <w:r>
        <w:rPr>
          <w:rFonts w:ascii="Calibri" w:eastAsia="Calibri"/>
        </w:rPr>
        <w:t xml:space="preserve">1 </w:t>
      </w:r>
      <w:r>
        <w:rPr>
          <w:spacing w:val="-3"/>
        </w:rPr>
        <w:t>日起施行。</w:t>
      </w:r>
      <w:r>
        <w:t>特此公告。</w:t>
      </w:r>
    </w:p>
    <w:p>
      <w:pPr>
        <w:pStyle w:val="8"/>
        <w:numPr>
          <w:ilvl w:val="0"/>
          <w:numId w:val="56"/>
        </w:numPr>
        <w:tabs>
          <w:tab w:val="left" w:pos="2481"/>
        </w:tabs>
        <w:spacing w:before="11" w:after="0" w:line="338" w:lineRule="auto"/>
        <w:ind w:left="1800" w:right="1795" w:firstLine="480"/>
        <w:jc w:val="left"/>
        <w:rPr>
          <w:sz w:val="24"/>
        </w:rPr>
      </w:pPr>
      <w:bookmarkStart w:id="21" w:name="_bookmark10"/>
      <w:bookmarkEnd w:id="21"/>
      <w:bookmarkStart w:id="22" w:name="_bookmark10"/>
      <w:bookmarkEnd w:id="22"/>
      <w:r>
        <w:rPr>
          <w:color w:val="333333"/>
          <w:spacing w:val="-2"/>
          <w:sz w:val="24"/>
        </w:rPr>
        <w:t>《财政部国家税务总局关于全面推开营业税改征增值税试点的通知》</w:t>
      </w:r>
      <w:r>
        <w:rPr>
          <w:color w:val="333333"/>
          <w:sz w:val="24"/>
        </w:rPr>
        <w:t>（</w:t>
      </w:r>
      <w:r>
        <w:rPr>
          <w:color w:val="333333"/>
          <w:spacing w:val="-16"/>
          <w:sz w:val="24"/>
        </w:rPr>
        <w:t>财</w:t>
      </w:r>
      <w:r>
        <w:rPr>
          <w:color w:val="333333"/>
          <w:sz w:val="24"/>
        </w:rPr>
        <w:t>税〔2016〕36</w:t>
      </w:r>
      <w:r>
        <w:rPr>
          <w:color w:val="333333"/>
          <w:spacing w:val="-5"/>
          <w:sz w:val="24"/>
        </w:rPr>
        <w:t xml:space="preserve"> 号附件 </w:t>
      </w:r>
      <w:r>
        <w:rPr>
          <w:color w:val="333333"/>
          <w:sz w:val="24"/>
        </w:rPr>
        <w:t>2）</w:t>
      </w:r>
    </w:p>
    <w:p>
      <w:pPr>
        <w:pStyle w:val="3"/>
        <w:spacing w:before="0" w:line="298" w:lineRule="exact"/>
        <w:ind w:left="2280"/>
      </w:pPr>
      <w:r>
        <w:fldChar w:fldCharType="begin"/>
      </w:r>
      <w:r>
        <w:instrText xml:space="preserve"> HYPERLINK "http://www.waizi.org.cn/law/9790.html" \h </w:instrText>
      </w:r>
      <w:r>
        <w:fldChar w:fldCharType="separate"/>
      </w:r>
      <w:r>
        <w:t>营业税改征增值税试点有关事项的规定</w:t>
      </w:r>
      <w:r>
        <w:fldChar w:fldCharType="end"/>
      </w:r>
    </w:p>
    <w:p>
      <w:pPr>
        <w:pStyle w:val="3"/>
        <w:spacing w:before="161" w:line="364" w:lineRule="auto"/>
        <w:ind w:right="1795"/>
        <w:rPr>
          <w:rFonts w:ascii="Calibri" w:eastAsia="Calibri"/>
        </w:rPr>
      </w:pPr>
      <w:r>
        <w:t>本文为：</w:t>
      </w:r>
      <w:r>
        <w:fldChar w:fldCharType="begin"/>
      </w:r>
      <w:r>
        <w:instrText xml:space="preserve"> HYPERLINK "http://www.waizi.org.cn/shuishounews/9791.html" \h </w:instrText>
      </w:r>
      <w:r>
        <w:fldChar w:fldCharType="separate"/>
      </w:r>
      <w:r>
        <w:t>财税〔</w:t>
      </w:r>
      <w:r>
        <w:rPr>
          <w:rFonts w:ascii="Calibri" w:eastAsia="Calibri"/>
        </w:rPr>
        <w:t>2016</w:t>
      </w:r>
      <w:r>
        <w:t>〕</w:t>
      </w:r>
      <w:r>
        <w:rPr>
          <w:rFonts w:ascii="Calibri" w:eastAsia="Calibri"/>
        </w:rPr>
        <w:t xml:space="preserve">36 </w:t>
      </w:r>
      <w:r>
        <w:t>号</w:t>
      </w:r>
      <w:r>
        <w:fldChar w:fldCharType="end"/>
      </w:r>
      <w:r>
        <w:t>《</w:t>
      </w:r>
      <w:r>
        <w:fldChar w:fldCharType="begin"/>
      </w:r>
      <w:r>
        <w:instrText xml:space="preserve"> HYPERLINK "http://www.waizi.org.cn/shuishounews/9791.html" \h </w:instrText>
      </w:r>
      <w:r>
        <w:fldChar w:fldCharType="separate"/>
      </w:r>
      <w:r>
        <w:t>财政部国家税务总局关于全面推开营业税改征增</w:t>
      </w:r>
      <w:r>
        <w:fldChar w:fldCharType="end"/>
      </w:r>
      <w:r>
        <w:t xml:space="preserve">值税试点的通知》附件 </w:t>
      </w:r>
      <w:r>
        <w:rPr>
          <w:rFonts w:ascii="Calibri" w:eastAsia="Calibri"/>
        </w:rPr>
        <w:t>2</w:t>
      </w:r>
    </w:p>
    <w:p>
      <w:pPr>
        <w:pStyle w:val="3"/>
        <w:spacing w:line="364" w:lineRule="auto"/>
        <w:ind w:right="1795"/>
      </w:pPr>
      <w:r>
        <w:rPr>
          <w:spacing w:val="-12"/>
        </w:rPr>
        <w:t>一、营改增试点期间，试点纳税人</w:t>
      </w:r>
      <w:r>
        <w:rPr>
          <w:rFonts w:ascii="Calibri" w:eastAsia="Calibri"/>
        </w:rPr>
        <w:t>[</w:t>
      </w:r>
      <w:r>
        <w:rPr>
          <w:spacing w:val="-20"/>
        </w:rPr>
        <w:t>指按照</w:t>
      </w:r>
      <w:r>
        <w:fldChar w:fldCharType="begin"/>
      </w:r>
      <w:r>
        <w:instrText xml:space="preserve"> HYPERLINK "http://www.waizi.org.cn/shuishounews/9779.html" \h </w:instrText>
      </w:r>
      <w:r>
        <w:fldChar w:fldCharType="separate"/>
      </w:r>
      <w:r>
        <w:rPr>
          <w:spacing w:val="-1"/>
        </w:rPr>
        <w:t>《营业税改征增值税试点实施办法</w:t>
      </w:r>
      <w:r>
        <w:rPr>
          <w:spacing w:val="-1"/>
        </w:rPr>
        <w:fldChar w:fldCharType="end"/>
      </w:r>
      <w:r>
        <w:rPr>
          <w:spacing w:val="-60"/>
        </w:rPr>
        <w:t>》</w:t>
      </w:r>
      <w:r>
        <w:rPr>
          <w:rFonts w:ascii="Calibri" w:eastAsia="Calibri"/>
        </w:rPr>
        <w:t>(</w:t>
      </w:r>
      <w:r>
        <w:rPr>
          <w:spacing w:val="-16"/>
        </w:rPr>
        <w:t>以</w:t>
      </w:r>
      <w:r>
        <w:t>下称《试点实施办法》</w:t>
      </w:r>
      <w:r>
        <w:rPr>
          <w:rFonts w:ascii="Calibri" w:eastAsia="Calibri"/>
        </w:rPr>
        <w:t>)</w:t>
      </w:r>
      <w:r>
        <w:t>缴纳增值税的纳税人</w:t>
      </w:r>
      <w:r>
        <w:rPr>
          <w:rFonts w:ascii="Calibri" w:eastAsia="Calibri"/>
        </w:rPr>
        <w:t>]</w:t>
      </w:r>
      <w:r>
        <w:t>有关政策</w:t>
      </w:r>
    </w:p>
    <w:p>
      <w:pPr>
        <w:pStyle w:val="3"/>
      </w:pPr>
      <w:r>
        <w:t>（一）兼营。</w:t>
      </w:r>
    </w:p>
    <w:p>
      <w:pPr>
        <w:pStyle w:val="3"/>
        <w:spacing w:before="161"/>
      </w:pPr>
      <w:r>
        <w:t>试点纳税人销售货物、加工修理修配劳务、服务、无形资产或者不动产适用不同</w:t>
      </w:r>
    </w:p>
    <w:p>
      <w:pPr>
        <w:spacing w:after="0"/>
        <w:sectPr>
          <w:pgSz w:w="11910" w:h="16840"/>
          <w:pgMar w:top="1540" w:right="0" w:bottom="1380" w:left="0" w:header="965" w:footer="1182" w:gutter="0"/>
          <w:cols w:space="720" w:num="1"/>
        </w:sectPr>
      </w:pPr>
    </w:p>
    <w:p>
      <w:pPr>
        <w:pStyle w:val="3"/>
        <w:spacing w:before="2"/>
        <w:ind w:left="0"/>
        <w:rPr>
          <w:sz w:val="12"/>
        </w:rPr>
      </w:pPr>
    </w:p>
    <w:p>
      <w:pPr>
        <w:pStyle w:val="3"/>
        <w:spacing w:before="67" w:line="364" w:lineRule="auto"/>
        <w:ind w:right="1797"/>
      </w:pPr>
      <w:r>
        <w:rPr>
          <w:spacing w:val="-9"/>
        </w:rPr>
        <w:t>税率或者征收率的，应当分别核算适用不同税率或者征收率的销售额，未分别核</w:t>
      </w:r>
      <w:r>
        <w:t>算销售额的，按照以下方法适用税率或者征收率：</w:t>
      </w:r>
    </w:p>
    <w:p>
      <w:pPr>
        <w:pStyle w:val="8"/>
        <w:numPr>
          <w:ilvl w:val="0"/>
          <w:numId w:val="57"/>
        </w:numPr>
        <w:tabs>
          <w:tab w:val="left" w:pos="1984"/>
        </w:tabs>
        <w:spacing w:before="1" w:after="0" w:line="364" w:lineRule="auto"/>
        <w:ind w:left="1800" w:right="1759" w:firstLine="0"/>
        <w:jc w:val="left"/>
        <w:rPr>
          <w:rFonts w:hint="eastAsia" w:ascii="宋体" w:eastAsia="宋体"/>
          <w:sz w:val="24"/>
        </w:rPr>
      </w:pPr>
      <w:r>
        <w:rPr>
          <w:rFonts w:hint="eastAsia" w:ascii="宋体" w:eastAsia="宋体"/>
          <w:spacing w:val="-1"/>
          <w:sz w:val="24"/>
        </w:rPr>
        <w:t xml:space="preserve">兼有不同税率的销售货物、加工修理修配劳务、服务、无形资产或者不动产， </w:t>
      </w:r>
      <w:r>
        <w:rPr>
          <w:rFonts w:hint="eastAsia" w:ascii="宋体" w:eastAsia="宋体"/>
          <w:sz w:val="24"/>
        </w:rPr>
        <w:t>从高适用税率。</w:t>
      </w:r>
    </w:p>
    <w:p>
      <w:pPr>
        <w:pStyle w:val="8"/>
        <w:numPr>
          <w:ilvl w:val="0"/>
          <w:numId w:val="57"/>
        </w:numPr>
        <w:tabs>
          <w:tab w:val="left" w:pos="1984"/>
        </w:tabs>
        <w:spacing w:before="1" w:after="0" w:line="364" w:lineRule="auto"/>
        <w:ind w:left="1800" w:right="1675" w:firstLine="0"/>
        <w:jc w:val="left"/>
        <w:rPr>
          <w:rFonts w:hint="eastAsia" w:ascii="宋体" w:eastAsia="宋体"/>
          <w:sz w:val="24"/>
        </w:rPr>
      </w:pPr>
      <w:r>
        <w:rPr>
          <w:rFonts w:hint="eastAsia" w:ascii="宋体" w:eastAsia="宋体"/>
          <w:spacing w:val="-11"/>
          <w:sz w:val="24"/>
        </w:rPr>
        <w:t xml:space="preserve">兼有不同征收率的销售货物、加工修理修配劳务、服务、无形资产或者不动产， </w:t>
      </w:r>
      <w:r>
        <w:rPr>
          <w:rFonts w:hint="eastAsia" w:ascii="宋体" w:eastAsia="宋体"/>
          <w:sz w:val="24"/>
        </w:rPr>
        <w:t>从高适用征收率。</w:t>
      </w:r>
    </w:p>
    <w:p>
      <w:pPr>
        <w:pStyle w:val="8"/>
        <w:numPr>
          <w:ilvl w:val="0"/>
          <w:numId w:val="57"/>
        </w:numPr>
        <w:tabs>
          <w:tab w:val="left" w:pos="1984"/>
        </w:tabs>
        <w:spacing w:before="1" w:after="0" w:line="364" w:lineRule="auto"/>
        <w:ind w:left="1800" w:right="1795" w:firstLine="0"/>
        <w:jc w:val="left"/>
        <w:rPr>
          <w:rFonts w:hint="eastAsia" w:ascii="宋体" w:eastAsia="宋体"/>
          <w:sz w:val="24"/>
        </w:rPr>
      </w:pPr>
      <w:r>
        <w:rPr>
          <w:rFonts w:hint="eastAsia" w:ascii="宋体" w:eastAsia="宋体"/>
          <w:spacing w:val="-4"/>
          <w:sz w:val="24"/>
        </w:rPr>
        <w:t>兼有不同税率和征收率的销售货物、加工修理修配劳务、服务、无形资产或者</w:t>
      </w:r>
      <w:r>
        <w:rPr>
          <w:rFonts w:hint="eastAsia" w:ascii="宋体" w:eastAsia="宋体"/>
          <w:sz w:val="24"/>
        </w:rPr>
        <w:t>不动产，从高适用税率。</w:t>
      </w:r>
    </w:p>
    <w:p>
      <w:pPr>
        <w:pStyle w:val="3"/>
        <w:spacing w:before="2"/>
      </w:pPr>
      <w:r>
        <w:t>（二）不征收增值税项目。</w:t>
      </w:r>
    </w:p>
    <w:p>
      <w:pPr>
        <w:pStyle w:val="8"/>
        <w:numPr>
          <w:ilvl w:val="0"/>
          <w:numId w:val="58"/>
        </w:numPr>
        <w:tabs>
          <w:tab w:val="left" w:pos="1984"/>
        </w:tabs>
        <w:spacing w:before="160" w:after="0" w:line="364" w:lineRule="auto"/>
        <w:ind w:left="1800" w:right="1675" w:firstLine="0"/>
        <w:jc w:val="left"/>
        <w:rPr>
          <w:rFonts w:hint="eastAsia" w:ascii="宋体" w:eastAsia="宋体"/>
          <w:sz w:val="24"/>
        </w:rPr>
      </w:pPr>
      <w:r>
        <w:rPr>
          <w:rFonts w:hint="eastAsia" w:ascii="宋体" w:eastAsia="宋体"/>
          <w:spacing w:val="-8"/>
          <w:sz w:val="24"/>
        </w:rPr>
        <w:t>根据国家指令无偿提供的铁路运输服务、航空运输服务，属于《试点实施办法》</w:t>
      </w:r>
      <w:r>
        <w:rPr>
          <w:rFonts w:hint="eastAsia" w:ascii="宋体" w:eastAsia="宋体"/>
          <w:sz w:val="24"/>
        </w:rPr>
        <w:t>第十四条规定的用于公益事业的服务。</w:t>
      </w:r>
    </w:p>
    <w:p>
      <w:pPr>
        <w:pStyle w:val="8"/>
        <w:numPr>
          <w:ilvl w:val="0"/>
          <w:numId w:val="58"/>
        </w:numPr>
        <w:tabs>
          <w:tab w:val="left" w:pos="1984"/>
        </w:tabs>
        <w:spacing w:before="1" w:after="0" w:line="240" w:lineRule="auto"/>
        <w:ind w:left="1983" w:right="0" w:hanging="184"/>
        <w:jc w:val="left"/>
        <w:rPr>
          <w:rFonts w:hint="eastAsia" w:ascii="宋体" w:eastAsia="宋体"/>
          <w:sz w:val="24"/>
        </w:rPr>
      </w:pPr>
      <w:r>
        <w:pict>
          <v:shape id="_x0000_s1075" o:spid="_x0000_s1075" o:spt="136" type="#_x0000_t136" style="position:absolute;left:0pt;margin-left:41.25pt;margin-top:16.25pt;height:132pt;width:528.05pt;mso-position-horizontal-relative:page;rotation:20643840f;z-index:-251606016;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宋体" w:eastAsia="宋体"/>
          <w:sz w:val="24"/>
        </w:rPr>
        <w:t>存款利息。</w:t>
      </w:r>
    </w:p>
    <w:p>
      <w:pPr>
        <w:pStyle w:val="8"/>
        <w:numPr>
          <w:ilvl w:val="0"/>
          <w:numId w:val="58"/>
        </w:numPr>
        <w:tabs>
          <w:tab w:val="left" w:pos="1984"/>
        </w:tabs>
        <w:spacing w:before="161" w:after="0" w:line="240" w:lineRule="auto"/>
        <w:ind w:left="1983" w:right="0" w:hanging="184"/>
        <w:jc w:val="left"/>
        <w:rPr>
          <w:rFonts w:hint="eastAsia" w:ascii="宋体" w:eastAsia="宋体"/>
          <w:sz w:val="24"/>
        </w:rPr>
      </w:pPr>
      <w:r>
        <w:rPr>
          <w:rFonts w:hint="eastAsia" w:ascii="宋体" w:eastAsia="宋体"/>
          <w:sz w:val="24"/>
        </w:rPr>
        <w:t>被保险人获得的保险赔付。</w:t>
      </w:r>
    </w:p>
    <w:p>
      <w:pPr>
        <w:pStyle w:val="8"/>
        <w:numPr>
          <w:ilvl w:val="0"/>
          <w:numId w:val="58"/>
        </w:numPr>
        <w:tabs>
          <w:tab w:val="left" w:pos="1984"/>
        </w:tabs>
        <w:spacing w:before="160" w:after="0" w:line="364" w:lineRule="auto"/>
        <w:ind w:left="1800" w:right="1795" w:firstLine="0"/>
        <w:jc w:val="left"/>
        <w:rPr>
          <w:rFonts w:hint="eastAsia" w:ascii="宋体" w:eastAsia="宋体"/>
          <w:sz w:val="24"/>
        </w:rPr>
      </w:pPr>
      <w:r>
        <w:rPr>
          <w:rFonts w:hint="eastAsia" w:ascii="宋体" w:eastAsia="宋体"/>
          <w:spacing w:val="-4"/>
          <w:sz w:val="24"/>
        </w:rPr>
        <w:t>房地产主管部门或者其指定机构、公积金管理中心、开发企业以及物业管理单</w:t>
      </w:r>
      <w:r>
        <w:rPr>
          <w:rFonts w:hint="eastAsia" w:ascii="宋体" w:eastAsia="宋体"/>
          <w:sz w:val="24"/>
        </w:rPr>
        <w:t>位代收的住宅专项维修资金。</w:t>
      </w:r>
    </w:p>
    <w:p>
      <w:pPr>
        <w:pStyle w:val="8"/>
        <w:numPr>
          <w:ilvl w:val="0"/>
          <w:numId w:val="58"/>
        </w:numPr>
        <w:tabs>
          <w:tab w:val="left" w:pos="1984"/>
        </w:tabs>
        <w:spacing w:before="2" w:after="0" w:line="364" w:lineRule="auto"/>
        <w:ind w:left="1800" w:right="1795" w:firstLine="0"/>
        <w:jc w:val="both"/>
        <w:rPr>
          <w:rFonts w:hint="eastAsia" w:ascii="宋体" w:eastAsia="宋体"/>
          <w:sz w:val="24"/>
        </w:rPr>
      </w:pPr>
      <w:r>
        <w:rPr>
          <w:rFonts w:hint="eastAsia" w:ascii="宋体" w:eastAsia="宋体"/>
          <w:spacing w:val="-6"/>
          <w:sz w:val="24"/>
        </w:rPr>
        <w:t>在资产重组过程中，通过合并、分立、出售、置换等方式，将全部或者部分实</w:t>
      </w:r>
      <w:r>
        <w:rPr>
          <w:rFonts w:hint="eastAsia" w:ascii="宋体" w:eastAsia="宋体"/>
          <w:spacing w:val="-7"/>
          <w:sz w:val="24"/>
        </w:rPr>
        <w:t>物资产以及与其相关联的债权、负债和劳动力一并转让给其他单位和个人，其中</w:t>
      </w:r>
      <w:r>
        <w:rPr>
          <w:rFonts w:hint="eastAsia" w:ascii="宋体" w:eastAsia="宋体"/>
          <w:sz w:val="24"/>
        </w:rPr>
        <w:t>涉及的不动产、土地使用权转让行为。</w:t>
      </w:r>
    </w:p>
    <w:p>
      <w:pPr>
        <w:pStyle w:val="3"/>
      </w:pPr>
      <w:r>
        <w:rPr>
          <w:rFonts w:ascii="Calibri" w:eastAsia="Calibri"/>
        </w:rPr>
        <w:t>(</w:t>
      </w:r>
      <w:r>
        <w:t>三</w:t>
      </w:r>
      <w:r>
        <w:rPr>
          <w:rFonts w:ascii="Calibri" w:eastAsia="Calibri"/>
        </w:rPr>
        <w:t>)</w:t>
      </w:r>
      <w:r>
        <w:t>销售额。</w:t>
      </w:r>
    </w:p>
    <w:p>
      <w:pPr>
        <w:pStyle w:val="8"/>
        <w:numPr>
          <w:ilvl w:val="0"/>
          <w:numId w:val="59"/>
        </w:numPr>
        <w:tabs>
          <w:tab w:val="left" w:pos="1984"/>
        </w:tabs>
        <w:spacing w:before="161" w:after="0" w:line="240" w:lineRule="auto"/>
        <w:ind w:left="1983" w:right="0" w:hanging="184"/>
        <w:jc w:val="left"/>
        <w:rPr>
          <w:rFonts w:hint="eastAsia" w:ascii="宋体" w:eastAsia="宋体"/>
          <w:sz w:val="24"/>
        </w:rPr>
      </w:pPr>
      <w:r>
        <w:rPr>
          <w:rFonts w:hint="eastAsia" w:ascii="宋体" w:eastAsia="宋体"/>
          <w:sz w:val="24"/>
        </w:rPr>
        <w:t>贷款服务，以提供贷款服务取得的全部利息及利息性质的收入为销售额。</w:t>
      </w:r>
    </w:p>
    <w:p>
      <w:pPr>
        <w:pStyle w:val="8"/>
        <w:numPr>
          <w:ilvl w:val="0"/>
          <w:numId w:val="59"/>
        </w:numPr>
        <w:tabs>
          <w:tab w:val="left" w:pos="1984"/>
        </w:tabs>
        <w:spacing w:before="160" w:after="0" w:line="364" w:lineRule="auto"/>
        <w:ind w:left="1800" w:right="1792" w:firstLine="0"/>
        <w:jc w:val="both"/>
        <w:rPr>
          <w:rFonts w:hint="eastAsia" w:ascii="宋体" w:eastAsia="宋体"/>
          <w:sz w:val="24"/>
        </w:rPr>
      </w:pPr>
      <w:r>
        <w:rPr>
          <w:rFonts w:hint="eastAsia" w:ascii="宋体" w:eastAsia="宋体"/>
          <w:spacing w:val="-6"/>
          <w:sz w:val="24"/>
        </w:rPr>
        <w:t>直接收费金融服务，以提供直接收费金融服务收取的手续费、佣金、酬金、管</w:t>
      </w:r>
      <w:r>
        <w:rPr>
          <w:rFonts w:hint="eastAsia" w:ascii="宋体" w:eastAsia="宋体"/>
          <w:spacing w:val="-10"/>
          <w:sz w:val="24"/>
        </w:rPr>
        <w:t>理费、服务费、经手费、开户费、过户费、结算费、转托管费等各类费用为销售</w:t>
      </w:r>
      <w:r>
        <w:rPr>
          <w:rFonts w:hint="eastAsia" w:ascii="宋体" w:eastAsia="宋体"/>
          <w:sz w:val="24"/>
        </w:rPr>
        <w:t>额。</w:t>
      </w:r>
    </w:p>
    <w:p>
      <w:pPr>
        <w:pStyle w:val="8"/>
        <w:numPr>
          <w:ilvl w:val="0"/>
          <w:numId w:val="59"/>
        </w:numPr>
        <w:tabs>
          <w:tab w:val="left" w:pos="1984"/>
        </w:tabs>
        <w:spacing w:before="2" w:after="0" w:line="240" w:lineRule="auto"/>
        <w:ind w:left="1983" w:right="0" w:hanging="184"/>
        <w:jc w:val="left"/>
        <w:rPr>
          <w:rFonts w:hint="eastAsia" w:ascii="宋体" w:eastAsia="宋体"/>
          <w:sz w:val="24"/>
        </w:rPr>
      </w:pPr>
      <w:r>
        <w:rPr>
          <w:rFonts w:hint="eastAsia" w:ascii="宋体" w:eastAsia="宋体"/>
          <w:sz w:val="24"/>
        </w:rPr>
        <w:t>金融商品转让，按照卖出价扣除买入价后的余额为销售额。</w:t>
      </w:r>
    </w:p>
    <w:p>
      <w:pPr>
        <w:pStyle w:val="3"/>
        <w:spacing w:before="161" w:line="364" w:lineRule="auto"/>
        <w:ind w:right="1677"/>
      </w:pPr>
      <w:r>
        <w:rPr>
          <w:spacing w:val="-14"/>
        </w:rPr>
        <w:t xml:space="preserve">转让金融商品出现的正负差，按盈亏相抵后的余额为销售额。若相抵后出现负差， </w:t>
      </w:r>
      <w:r>
        <w:rPr>
          <w:spacing w:val="-5"/>
        </w:rPr>
        <w:t>可结转下一纳税期与下期转让金融商品销售额相抵，但年末时仍出现负差的，不得转入下一个会计年度。</w:t>
      </w:r>
    </w:p>
    <w:p>
      <w:pPr>
        <w:pStyle w:val="3"/>
        <w:spacing w:line="364" w:lineRule="auto"/>
        <w:ind w:right="1797"/>
      </w:pPr>
      <w:r>
        <w:rPr>
          <w:spacing w:val="-9"/>
        </w:rPr>
        <w:t>金融商品的买入价，可以选择按照加权平均法或者移动加权平均法进行核算，选</w:t>
      </w:r>
      <w:r>
        <w:rPr>
          <w:spacing w:val="-20"/>
        </w:rPr>
        <w:t xml:space="preserve">择后 </w:t>
      </w:r>
      <w:r>
        <w:rPr>
          <w:rFonts w:ascii="Calibri" w:eastAsia="Calibri"/>
        </w:rPr>
        <w:t xml:space="preserve">36 </w:t>
      </w:r>
      <w:r>
        <w:t>个月内不得变更。</w:t>
      </w:r>
    </w:p>
    <w:p>
      <w:pPr>
        <w:spacing w:after="0" w:line="364" w:lineRule="auto"/>
        <w:sectPr>
          <w:pgSz w:w="11910" w:h="16840"/>
          <w:pgMar w:top="1540" w:right="0" w:bottom="1380" w:left="0" w:header="965" w:footer="1182" w:gutter="0"/>
          <w:cols w:space="720" w:num="1"/>
        </w:sectPr>
      </w:pPr>
    </w:p>
    <w:p>
      <w:pPr>
        <w:pStyle w:val="3"/>
        <w:spacing w:before="2"/>
        <w:ind w:left="0"/>
        <w:rPr>
          <w:sz w:val="12"/>
        </w:rPr>
      </w:pPr>
    </w:p>
    <w:p>
      <w:pPr>
        <w:pStyle w:val="3"/>
        <w:spacing w:before="67"/>
      </w:pPr>
      <w:r>
        <w:t>金融商品转让，不得开具增值税专用发票。</w:t>
      </w:r>
    </w:p>
    <w:p>
      <w:pPr>
        <w:pStyle w:val="8"/>
        <w:numPr>
          <w:ilvl w:val="0"/>
          <w:numId w:val="59"/>
        </w:numPr>
        <w:tabs>
          <w:tab w:val="left" w:pos="1984"/>
        </w:tabs>
        <w:spacing w:before="160" w:after="0" w:line="364" w:lineRule="auto"/>
        <w:ind w:left="1800" w:right="1797" w:firstLine="0"/>
        <w:jc w:val="both"/>
        <w:rPr>
          <w:rFonts w:hint="eastAsia" w:ascii="宋体" w:eastAsia="宋体"/>
          <w:sz w:val="24"/>
        </w:rPr>
      </w:pPr>
      <w:r>
        <w:rPr>
          <w:rFonts w:hint="eastAsia" w:ascii="宋体" w:eastAsia="宋体"/>
          <w:spacing w:val="-5"/>
          <w:sz w:val="24"/>
        </w:rPr>
        <w:t>经纪代理服务，以取得的全部价款和价外费用，扣除向委托方收取并代为支付的政府性基金或者行政事业性收费后的余额为销售额。向委托方收取的政府性基</w:t>
      </w:r>
      <w:r>
        <w:rPr>
          <w:rFonts w:hint="eastAsia" w:ascii="宋体" w:eastAsia="宋体"/>
          <w:sz w:val="24"/>
        </w:rPr>
        <w:t>金或者行政事业性收费，不得开具增值税专用发票。</w:t>
      </w:r>
    </w:p>
    <w:p>
      <w:pPr>
        <w:pStyle w:val="8"/>
        <w:numPr>
          <w:ilvl w:val="0"/>
          <w:numId w:val="59"/>
        </w:numPr>
        <w:tabs>
          <w:tab w:val="left" w:pos="1984"/>
        </w:tabs>
        <w:spacing w:before="2" w:after="0" w:line="240" w:lineRule="auto"/>
        <w:ind w:left="1983" w:right="0" w:hanging="184"/>
        <w:jc w:val="left"/>
        <w:rPr>
          <w:rFonts w:hint="eastAsia" w:ascii="宋体" w:eastAsia="宋体"/>
          <w:sz w:val="24"/>
        </w:rPr>
      </w:pPr>
      <w:r>
        <w:rPr>
          <w:rFonts w:hint="eastAsia" w:ascii="宋体" w:eastAsia="宋体"/>
          <w:sz w:val="24"/>
        </w:rPr>
        <w:t>融资租赁和融资性售后回租业务。</w:t>
      </w:r>
    </w:p>
    <w:p>
      <w:pPr>
        <w:pStyle w:val="8"/>
        <w:numPr>
          <w:ilvl w:val="0"/>
          <w:numId w:val="60"/>
        </w:numPr>
        <w:tabs>
          <w:tab w:val="left" w:pos="2404"/>
        </w:tabs>
        <w:spacing w:before="161" w:after="0" w:line="364" w:lineRule="auto"/>
        <w:ind w:left="1800" w:right="1797" w:firstLine="0"/>
        <w:jc w:val="both"/>
        <w:rPr>
          <w:rFonts w:hint="eastAsia" w:ascii="宋体" w:eastAsia="宋体"/>
          <w:sz w:val="24"/>
        </w:rPr>
      </w:pPr>
      <w:r>
        <w:rPr>
          <w:rFonts w:hint="eastAsia" w:ascii="宋体" w:eastAsia="宋体"/>
          <w:spacing w:val="-1"/>
          <w:sz w:val="24"/>
        </w:rPr>
        <w:t>经人民银行、银监会或者商务部批准从事融资租赁业务的试点纳税人，提</w:t>
      </w:r>
      <w:r>
        <w:rPr>
          <w:rFonts w:hint="eastAsia" w:ascii="宋体" w:eastAsia="宋体"/>
          <w:spacing w:val="-7"/>
          <w:sz w:val="24"/>
        </w:rPr>
        <w:t>供融资租赁服务，以取得的全部价款和价外费用，扣除支付的借款利息</w:t>
      </w:r>
      <w:r>
        <w:rPr>
          <w:rFonts w:hint="eastAsia" w:ascii="宋体" w:eastAsia="宋体"/>
          <w:spacing w:val="-3"/>
          <w:sz w:val="24"/>
        </w:rPr>
        <w:t>（</w:t>
      </w:r>
      <w:r>
        <w:rPr>
          <w:rFonts w:hint="eastAsia" w:ascii="宋体" w:eastAsia="宋体"/>
          <w:spacing w:val="-5"/>
          <w:sz w:val="24"/>
        </w:rPr>
        <w:t>包括外</w:t>
      </w:r>
      <w:r>
        <w:rPr>
          <w:rFonts w:hint="eastAsia" w:ascii="宋体" w:eastAsia="宋体"/>
          <w:sz w:val="24"/>
        </w:rPr>
        <w:t>汇借款和人民币借款利息）、发行债券利息和车辆购置税后的余额为销售额。</w:t>
      </w:r>
    </w:p>
    <w:p>
      <w:pPr>
        <w:pStyle w:val="8"/>
        <w:numPr>
          <w:ilvl w:val="0"/>
          <w:numId w:val="60"/>
        </w:numPr>
        <w:tabs>
          <w:tab w:val="left" w:pos="2404"/>
        </w:tabs>
        <w:spacing w:before="1" w:after="0" w:line="364" w:lineRule="auto"/>
        <w:ind w:left="1800" w:right="1797" w:firstLine="0"/>
        <w:jc w:val="both"/>
        <w:rPr>
          <w:rFonts w:hint="eastAsia" w:ascii="宋体" w:eastAsia="宋体"/>
          <w:sz w:val="24"/>
        </w:rPr>
      </w:pPr>
      <w:r>
        <w:pict>
          <v:shape id="_x0000_s1076" o:spid="_x0000_s1076" o:spt="136" type="#_x0000_t136" style="position:absolute;left:0pt;margin-left:41.25pt;margin-top:86.45pt;height:132pt;width:528.05pt;mso-position-horizontal-relative:page;rotation:20643840f;z-index:-251604992;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宋体" w:eastAsia="宋体"/>
          <w:spacing w:val="-1"/>
          <w:sz w:val="24"/>
        </w:rPr>
        <w:t>经人民银行、银监会或者商务部批准从事融资租赁业务的试点纳税人，提</w:t>
      </w:r>
      <w:r>
        <w:rPr>
          <w:rFonts w:hint="eastAsia" w:ascii="宋体" w:eastAsia="宋体"/>
          <w:spacing w:val="-4"/>
          <w:sz w:val="24"/>
        </w:rPr>
        <w:t>供融资性售后回租服务，以取得的全部价款和价外费用</w:t>
      </w:r>
      <w:r>
        <w:rPr>
          <w:rFonts w:hint="eastAsia" w:ascii="宋体" w:eastAsia="宋体"/>
          <w:sz w:val="24"/>
        </w:rPr>
        <w:t>（不含本金</w:t>
      </w:r>
      <w:r>
        <w:rPr>
          <w:rFonts w:hint="eastAsia" w:ascii="宋体" w:eastAsia="宋体"/>
          <w:spacing w:val="-24"/>
          <w:sz w:val="24"/>
        </w:rPr>
        <w:t>），</w:t>
      </w:r>
      <w:r>
        <w:rPr>
          <w:rFonts w:hint="eastAsia" w:ascii="宋体" w:eastAsia="宋体"/>
          <w:spacing w:val="-5"/>
          <w:sz w:val="24"/>
        </w:rPr>
        <w:t>扣除对外支付的借款利息</w:t>
      </w:r>
      <w:r>
        <w:rPr>
          <w:rFonts w:hint="eastAsia" w:ascii="宋体" w:eastAsia="宋体"/>
          <w:sz w:val="24"/>
        </w:rPr>
        <w:t>（包括外汇借款和人民币借款利息</w:t>
      </w:r>
      <w:r>
        <w:rPr>
          <w:rFonts w:hint="eastAsia" w:ascii="宋体" w:eastAsia="宋体"/>
          <w:spacing w:val="-32"/>
          <w:sz w:val="24"/>
        </w:rPr>
        <w:t>）</w:t>
      </w:r>
      <w:r>
        <w:rPr>
          <w:rFonts w:hint="eastAsia" w:ascii="宋体" w:eastAsia="宋体"/>
          <w:spacing w:val="-7"/>
          <w:sz w:val="24"/>
        </w:rPr>
        <w:t>、发行债券利息后的余额作</w:t>
      </w:r>
      <w:r>
        <w:rPr>
          <w:rFonts w:hint="eastAsia" w:ascii="宋体" w:eastAsia="宋体"/>
          <w:sz w:val="24"/>
        </w:rPr>
        <w:t>为销售额。</w:t>
      </w:r>
    </w:p>
    <w:p>
      <w:pPr>
        <w:pStyle w:val="8"/>
        <w:numPr>
          <w:ilvl w:val="0"/>
          <w:numId w:val="60"/>
        </w:numPr>
        <w:tabs>
          <w:tab w:val="left" w:pos="2404"/>
        </w:tabs>
        <w:spacing w:before="3" w:after="0" w:line="364" w:lineRule="auto"/>
        <w:ind w:left="1800" w:right="1672" w:firstLine="0"/>
        <w:jc w:val="left"/>
        <w:rPr>
          <w:rFonts w:hint="eastAsia" w:ascii="宋体" w:eastAsia="宋体"/>
          <w:sz w:val="24"/>
        </w:rPr>
      </w:pPr>
      <w:r>
        <w:rPr>
          <w:rFonts w:hint="eastAsia" w:ascii="宋体" w:eastAsia="宋体"/>
          <w:spacing w:val="-8"/>
          <w:sz w:val="24"/>
        </w:rPr>
        <w:t xml:space="preserve">试点纳税人根据 </w:t>
      </w:r>
      <w:r>
        <w:rPr>
          <w:rFonts w:ascii="Calibri" w:eastAsia="Calibri"/>
          <w:sz w:val="24"/>
        </w:rPr>
        <w:t>2016</w:t>
      </w:r>
      <w:r>
        <w:rPr>
          <w:rFonts w:ascii="Calibri" w:eastAsia="Calibri"/>
          <w:spacing w:val="6"/>
          <w:sz w:val="24"/>
        </w:rPr>
        <w:t xml:space="preserve"> </w:t>
      </w:r>
      <w:r>
        <w:rPr>
          <w:rFonts w:hint="eastAsia" w:ascii="宋体" w:eastAsia="宋体"/>
          <w:spacing w:val="-30"/>
          <w:sz w:val="24"/>
        </w:rPr>
        <w:t xml:space="preserve">年 </w:t>
      </w:r>
      <w:r>
        <w:rPr>
          <w:rFonts w:ascii="Calibri" w:eastAsia="Calibri"/>
          <w:sz w:val="24"/>
        </w:rPr>
        <w:t>4</w:t>
      </w:r>
      <w:r>
        <w:rPr>
          <w:rFonts w:ascii="Calibri" w:eastAsia="Calibri"/>
          <w:spacing w:val="4"/>
          <w:sz w:val="24"/>
        </w:rPr>
        <w:t xml:space="preserve"> </w:t>
      </w:r>
      <w:r>
        <w:rPr>
          <w:rFonts w:hint="eastAsia" w:ascii="宋体" w:eastAsia="宋体"/>
          <w:spacing w:val="-30"/>
          <w:sz w:val="24"/>
        </w:rPr>
        <w:t xml:space="preserve">月 </w:t>
      </w:r>
      <w:r>
        <w:rPr>
          <w:rFonts w:ascii="Calibri" w:eastAsia="Calibri"/>
          <w:sz w:val="24"/>
        </w:rPr>
        <w:t>30</w:t>
      </w:r>
      <w:r>
        <w:rPr>
          <w:rFonts w:ascii="Calibri" w:eastAsia="Calibri"/>
          <w:spacing w:val="6"/>
          <w:sz w:val="24"/>
        </w:rPr>
        <w:t xml:space="preserve"> </w:t>
      </w:r>
      <w:r>
        <w:rPr>
          <w:rFonts w:hint="eastAsia" w:ascii="宋体" w:eastAsia="宋体"/>
          <w:sz w:val="24"/>
        </w:rPr>
        <w:t>日前签订的有形动产融资性售后回租合同</w:t>
      </w:r>
      <w:r>
        <w:rPr>
          <w:rFonts w:hint="eastAsia" w:ascii="宋体" w:eastAsia="宋体"/>
          <w:spacing w:val="-7"/>
          <w:sz w:val="24"/>
        </w:rPr>
        <w:t>，在合同到期前提供的有形动产融资性售后回租服务，可继续按照有形动产融资租赁服务缴纳增值税。</w:t>
      </w:r>
    </w:p>
    <w:p>
      <w:pPr>
        <w:pStyle w:val="3"/>
        <w:spacing w:before="2" w:line="364" w:lineRule="auto"/>
        <w:ind w:right="1792"/>
        <w:jc w:val="both"/>
      </w:pPr>
      <w:r>
        <w:t>继续按照有形动产融资租赁服务缴纳增值税的试点纳税人</w:t>
      </w:r>
      <w:r>
        <w:rPr>
          <w:rFonts w:ascii="Calibri" w:eastAsia="Calibri"/>
        </w:rPr>
        <w:t>,</w:t>
      </w:r>
      <w:r>
        <w:t>经人民银行、银监会</w:t>
      </w:r>
      <w:r>
        <w:rPr>
          <w:spacing w:val="-10"/>
        </w:rPr>
        <w:t xml:space="preserve">或者商务部批准从事融资租赁业务的，根据 </w:t>
      </w:r>
      <w:r>
        <w:rPr>
          <w:rFonts w:ascii="Calibri" w:eastAsia="Calibri"/>
        </w:rPr>
        <w:t xml:space="preserve">2016 </w:t>
      </w:r>
      <w:r>
        <w:rPr>
          <w:spacing w:val="-30"/>
        </w:rPr>
        <w:t xml:space="preserve">年 </w:t>
      </w:r>
      <w:r>
        <w:rPr>
          <w:rFonts w:ascii="Calibri" w:eastAsia="Calibri"/>
        </w:rPr>
        <w:t xml:space="preserve">4 </w:t>
      </w:r>
      <w:r>
        <w:rPr>
          <w:spacing w:val="-30"/>
        </w:rPr>
        <w:t xml:space="preserve">月 </w:t>
      </w:r>
      <w:r>
        <w:rPr>
          <w:rFonts w:ascii="Calibri" w:eastAsia="Calibri"/>
        </w:rPr>
        <w:t xml:space="preserve">30 </w:t>
      </w:r>
      <w:r>
        <w:rPr>
          <w:spacing w:val="-2"/>
        </w:rPr>
        <w:t>日前签订的有形动产</w:t>
      </w:r>
      <w:r>
        <w:rPr>
          <w:spacing w:val="-8"/>
        </w:rPr>
        <w:t>融资性售后回租合同，在合同到期前提供的有形动产融资性售后回租服务，可以</w:t>
      </w:r>
      <w:r>
        <w:t>选择以下方法之一计算销售额：</w:t>
      </w:r>
    </w:p>
    <w:p>
      <w:pPr>
        <w:pStyle w:val="3"/>
        <w:spacing w:before="2" w:line="364" w:lineRule="auto"/>
        <w:ind w:right="1797"/>
        <w:jc w:val="both"/>
      </w:pPr>
      <w:r>
        <w:rPr>
          <w:spacing w:val="-6"/>
        </w:rPr>
        <w:t>①以向承租方收取的全部价款和价外费用，扣除向承租方收取的价款本金，以及</w:t>
      </w:r>
      <w:r>
        <w:rPr>
          <w:spacing w:val="-4"/>
        </w:rPr>
        <w:t>对外支付的借款利息</w:t>
      </w:r>
      <w:r>
        <w:t>（包括外汇借款和人民币借款利息</w:t>
      </w:r>
      <w:r>
        <w:rPr>
          <w:spacing w:val="-32"/>
        </w:rPr>
        <w:t>）</w:t>
      </w:r>
      <w:r>
        <w:rPr>
          <w:spacing w:val="-7"/>
        </w:rPr>
        <w:t>、发行债券利息后的余</w:t>
      </w:r>
      <w:r>
        <w:t>额为销售额。</w:t>
      </w:r>
    </w:p>
    <w:p>
      <w:pPr>
        <w:pStyle w:val="3"/>
        <w:spacing w:before="2" w:line="364" w:lineRule="auto"/>
        <w:ind w:right="1797"/>
        <w:jc w:val="both"/>
      </w:pPr>
      <w:r>
        <w:rPr>
          <w:spacing w:val="-6"/>
        </w:rPr>
        <w:t>纳税人提供有形动产融资性售后回租服务，计算当期销售额时可以扣除的价款本</w:t>
      </w:r>
      <w:r>
        <w:rPr>
          <w:spacing w:val="-10"/>
        </w:rPr>
        <w:t>金，为书面合同约定的当期应当收取的本金。无书面合同或者书面合同没有约定</w:t>
      </w:r>
      <w:r>
        <w:t>的，为当期实际收取的本金。</w:t>
      </w:r>
    </w:p>
    <w:p>
      <w:pPr>
        <w:pStyle w:val="3"/>
        <w:spacing w:before="2" w:line="364" w:lineRule="auto"/>
        <w:ind w:right="1797"/>
      </w:pPr>
      <w:r>
        <w:rPr>
          <w:spacing w:val="-6"/>
        </w:rPr>
        <w:t>试点纳税人提供有形动产融资性售后回租服务，向承租方收取的有形动产价款本</w:t>
      </w:r>
      <w:r>
        <w:t>金，不得开具增值税专用发票，可以开具普通发票。</w:t>
      </w:r>
    </w:p>
    <w:p>
      <w:pPr>
        <w:pStyle w:val="3"/>
        <w:spacing w:line="364" w:lineRule="auto"/>
        <w:ind w:right="1797"/>
      </w:pPr>
      <w:r>
        <w:rPr>
          <w:spacing w:val="-5"/>
        </w:rPr>
        <w:t>②以向承租方收取的全部价款和价外费用，扣除支付的借款利息</w:t>
      </w:r>
      <w:r>
        <w:t>（</w:t>
      </w:r>
      <w:r>
        <w:rPr>
          <w:spacing w:val="-3"/>
        </w:rPr>
        <w:t>包括外汇借款</w:t>
      </w:r>
      <w:r>
        <w:t>和人民币借款利息）、发行债券利息后的余额为销售额。</w:t>
      </w:r>
    </w:p>
    <w:p>
      <w:pPr>
        <w:spacing w:after="0" w:line="364" w:lineRule="auto"/>
        <w:sectPr>
          <w:pgSz w:w="11910" w:h="16840"/>
          <w:pgMar w:top="1540" w:right="0" w:bottom="1380" w:left="0" w:header="965" w:footer="1182" w:gutter="0"/>
          <w:cols w:space="720" w:num="1"/>
        </w:sectPr>
      </w:pPr>
    </w:p>
    <w:p>
      <w:pPr>
        <w:pStyle w:val="3"/>
        <w:spacing w:before="2"/>
        <w:ind w:left="0"/>
        <w:rPr>
          <w:sz w:val="12"/>
        </w:rPr>
      </w:pPr>
    </w:p>
    <w:p>
      <w:pPr>
        <w:pStyle w:val="8"/>
        <w:numPr>
          <w:ilvl w:val="0"/>
          <w:numId w:val="60"/>
        </w:numPr>
        <w:tabs>
          <w:tab w:val="left" w:pos="2404"/>
        </w:tabs>
        <w:spacing w:before="67" w:after="0" w:line="364" w:lineRule="auto"/>
        <w:ind w:left="1800" w:right="1792" w:firstLine="0"/>
        <w:jc w:val="left"/>
        <w:rPr>
          <w:rFonts w:hint="eastAsia" w:ascii="宋体" w:eastAsia="宋体"/>
          <w:sz w:val="24"/>
        </w:rPr>
      </w:pPr>
      <w:r>
        <w:rPr>
          <w:rFonts w:hint="eastAsia" w:ascii="宋体" w:eastAsia="宋体"/>
          <w:sz w:val="24"/>
        </w:rPr>
        <w:t>经商务部授权的省级商务主管部门和国家经济技术开发区批准的从事融资</w:t>
      </w:r>
      <w:r>
        <w:rPr>
          <w:rFonts w:hint="eastAsia" w:ascii="宋体" w:eastAsia="宋体"/>
          <w:spacing w:val="-2"/>
          <w:sz w:val="24"/>
        </w:rPr>
        <w:t>租赁业务的试点纳税人，</w:t>
      </w:r>
      <w:r>
        <w:rPr>
          <w:rFonts w:ascii="Calibri" w:eastAsia="Calibri"/>
          <w:spacing w:val="-11"/>
          <w:sz w:val="24"/>
        </w:rPr>
        <w:t>2016</w:t>
      </w:r>
      <w:r>
        <w:rPr>
          <w:rFonts w:ascii="Calibri" w:eastAsia="Calibri"/>
          <w:spacing w:val="4"/>
          <w:sz w:val="24"/>
        </w:rPr>
        <w:t xml:space="preserve"> </w:t>
      </w:r>
      <w:r>
        <w:rPr>
          <w:rFonts w:hint="eastAsia" w:ascii="宋体" w:eastAsia="宋体"/>
          <w:spacing w:val="-30"/>
          <w:sz w:val="24"/>
        </w:rPr>
        <w:t xml:space="preserve">年 </w:t>
      </w:r>
      <w:r>
        <w:rPr>
          <w:rFonts w:ascii="Calibri" w:eastAsia="Calibri"/>
          <w:sz w:val="24"/>
        </w:rPr>
        <w:t>5</w:t>
      </w:r>
      <w:r>
        <w:rPr>
          <w:rFonts w:ascii="Calibri" w:eastAsia="Calibri"/>
          <w:spacing w:val="7"/>
          <w:sz w:val="24"/>
        </w:rPr>
        <w:t xml:space="preserve"> </w:t>
      </w:r>
      <w:r>
        <w:rPr>
          <w:rFonts w:hint="eastAsia" w:ascii="宋体" w:eastAsia="宋体"/>
          <w:spacing w:val="-30"/>
          <w:sz w:val="24"/>
        </w:rPr>
        <w:t xml:space="preserve">月 </w:t>
      </w:r>
      <w:r>
        <w:rPr>
          <w:rFonts w:ascii="Calibri" w:eastAsia="Calibri"/>
          <w:sz w:val="24"/>
        </w:rPr>
        <w:t>1</w:t>
      </w:r>
      <w:r>
        <w:rPr>
          <w:rFonts w:ascii="Calibri" w:eastAsia="Calibri"/>
          <w:spacing w:val="5"/>
          <w:sz w:val="24"/>
        </w:rPr>
        <w:t xml:space="preserve"> </w:t>
      </w:r>
      <w:r>
        <w:rPr>
          <w:rFonts w:hint="eastAsia" w:ascii="宋体" w:eastAsia="宋体"/>
          <w:spacing w:val="-7"/>
          <w:sz w:val="24"/>
        </w:rPr>
        <w:t xml:space="preserve">日后实收资本达到 </w:t>
      </w:r>
      <w:r>
        <w:rPr>
          <w:rFonts w:ascii="Calibri" w:eastAsia="Calibri"/>
          <w:sz w:val="24"/>
        </w:rPr>
        <w:t>1.7</w:t>
      </w:r>
      <w:r>
        <w:rPr>
          <w:rFonts w:ascii="Calibri" w:eastAsia="Calibri"/>
          <w:spacing w:val="6"/>
          <w:sz w:val="24"/>
        </w:rPr>
        <w:t xml:space="preserve"> </w:t>
      </w:r>
      <w:r>
        <w:rPr>
          <w:rFonts w:hint="eastAsia" w:ascii="宋体" w:eastAsia="宋体"/>
          <w:spacing w:val="-8"/>
          <w:sz w:val="24"/>
        </w:rPr>
        <w:t>亿元的，从达到标</w:t>
      </w:r>
    </w:p>
    <w:p>
      <w:pPr>
        <w:pStyle w:val="3"/>
      </w:pPr>
      <w:r>
        <w:rPr>
          <w:spacing w:val="-1"/>
        </w:rPr>
        <w:t>准的当月起按照上述第</w:t>
      </w:r>
      <w:r>
        <w:t>（</w:t>
      </w:r>
      <w:r>
        <w:rPr>
          <w:rFonts w:ascii="Calibri" w:eastAsia="Calibri"/>
        </w:rPr>
        <w:t>1</w:t>
      </w:r>
      <w:r>
        <w:t>）</w:t>
      </w:r>
      <w:r>
        <w:rPr>
          <w:spacing w:val="-12"/>
        </w:rPr>
        <w:t>、</w:t>
      </w:r>
      <w:r>
        <w:t>（</w:t>
      </w:r>
      <w:r>
        <w:rPr>
          <w:rFonts w:ascii="Calibri" w:eastAsia="Calibri"/>
        </w:rPr>
        <w:t>2</w:t>
      </w:r>
      <w:r>
        <w:t>）</w:t>
      </w:r>
      <w:r>
        <w:rPr>
          <w:spacing w:val="-10"/>
        </w:rPr>
        <w:t>、</w:t>
      </w:r>
      <w:r>
        <w:t>（</w:t>
      </w:r>
      <w:r>
        <w:rPr>
          <w:rFonts w:ascii="Calibri" w:eastAsia="Calibri"/>
        </w:rPr>
        <w:t>3</w:t>
      </w:r>
      <w:r>
        <w:t>）</w:t>
      </w:r>
      <w:r>
        <w:rPr>
          <w:spacing w:val="-1"/>
        </w:rPr>
        <w:t>点规定执行；</w:t>
      </w:r>
      <w:r>
        <w:rPr>
          <w:rFonts w:ascii="Calibri" w:eastAsia="Calibri"/>
        </w:rPr>
        <w:t xml:space="preserve">2016 </w:t>
      </w:r>
      <w:r>
        <w:rPr>
          <w:spacing w:val="-32"/>
        </w:rPr>
        <w:t xml:space="preserve">年 </w:t>
      </w:r>
      <w:r>
        <w:rPr>
          <w:rFonts w:ascii="Calibri" w:eastAsia="Calibri"/>
        </w:rPr>
        <w:t>5</w:t>
      </w:r>
      <w:r>
        <w:rPr>
          <w:rFonts w:ascii="Calibri" w:eastAsia="Calibri"/>
          <w:spacing w:val="3"/>
        </w:rPr>
        <w:t xml:space="preserve"> </w:t>
      </w:r>
      <w:r>
        <w:rPr>
          <w:spacing w:val="-32"/>
        </w:rPr>
        <w:t xml:space="preserve">月 </w:t>
      </w:r>
      <w:r>
        <w:rPr>
          <w:rFonts w:ascii="Calibri" w:eastAsia="Calibri"/>
        </w:rPr>
        <w:t>1</w:t>
      </w:r>
      <w:r>
        <w:rPr>
          <w:rFonts w:ascii="Calibri" w:eastAsia="Calibri"/>
          <w:spacing w:val="3"/>
        </w:rPr>
        <w:t xml:space="preserve"> </w:t>
      </w:r>
      <w:r>
        <w:t>日后实</w:t>
      </w:r>
    </w:p>
    <w:p>
      <w:pPr>
        <w:pStyle w:val="3"/>
        <w:spacing w:before="161"/>
      </w:pPr>
      <w:r>
        <w:rPr>
          <w:spacing w:val="-9"/>
        </w:rPr>
        <w:t xml:space="preserve">收资本未达到 </w:t>
      </w:r>
      <w:r>
        <w:rPr>
          <w:rFonts w:ascii="Calibri" w:eastAsia="Calibri"/>
        </w:rPr>
        <w:t>1.7</w:t>
      </w:r>
      <w:r>
        <w:rPr>
          <w:rFonts w:ascii="Calibri" w:eastAsia="Calibri"/>
          <w:spacing w:val="7"/>
        </w:rPr>
        <w:t xml:space="preserve"> </w:t>
      </w:r>
      <w:r>
        <w:rPr>
          <w:spacing w:val="-6"/>
        </w:rPr>
        <w:t xml:space="preserve">亿元但注册资本达到 </w:t>
      </w:r>
      <w:r>
        <w:rPr>
          <w:rFonts w:ascii="Calibri" w:eastAsia="Calibri"/>
        </w:rPr>
        <w:t>1.7</w:t>
      </w:r>
      <w:r>
        <w:rPr>
          <w:rFonts w:ascii="Calibri" w:eastAsia="Calibri"/>
          <w:spacing w:val="7"/>
        </w:rPr>
        <w:t xml:space="preserve"> </w:t>
      </w:r>
      <w:r>
        <w:rPr>
          <w:spacing w:val="-11"/>
        </w:rPr>
        <w:t xml:space="preserve">亿元的，在 </w:t>
      </w:r>
      <w:r>
        <w:rPr>
          <w:rFonts w:ascii="Calibri" w:eastAsia="Calibri"/>
        </w:rPr>
        <w:t>2016</w:t>
      </w:r>
      <w:r>
        <w:rPr>
          <w:rFonts w:ascii="Calibri" w:eastAsia="Calibri"/>
          <w:spacing w:val="4"/>
        </w:rPr>
        <w:t xml:space="preserve"> </w:t>
      </w:r>
      <w:r>
        <w:rPr>
          <w:spacing w:val="-29"/>
        </w:rPr>
        <w:t xml:space="preserve">年 </w:t>
      </w:r>
      <w:r>
        <w:rPr>
          <w:rFonts w:ascii="Calibri" w:eastAsia="Calibri"/>
        </w:rPr>
        <w:t>7</w:t>
      </w:r>
      <w:r>
        <w:rPr>
          <w:rFonts w:ascii="Calibri" w:eastAsia="Calibri"/>
          <w:spacing w:val="7"/>
        </w:rPr>
        <w:t xml:space="preserve"> </w:t>
      </w:r>
      <w:r>
        <w:rPr>
          <w:spacing w:val="-30"/>
        </w:rPr>
        <w:t xml:space="preserve">月 </w:t>
      </w:r>
      <w:r>
        <w:rPr>
          <w:rFonts w:ascii="Calibri" w:eastAsia="Calibri"/>
        </w:rPr>
        <w:t>31</w:t>
      </w:r>
      <w:r>
        <w:rPr>
          <w:rFonts w:ascii="Calibri" w:eastAsia="Calibri"/>
          <w:spacing w:val="5"/>
        </w:rPr>
        <w:t xml:space="preserve"> </w:t>
      </w:r>
      <w:r>
        <w:t>日前仍可</w:t>
      </w:r>
    </w:p>
    <w:p>
      <w:pPr>
        <w:pStyle w:val="3"/>
        <w:spacing w:before="160" w:line="364" w:lineRule="auto"/>
        <w:ind w:right="1677"/>
      </w:pPr>
      <w:r>
        <w:rPr>
          <w:spacing w:val="-2"/>
        </w:rPr>
        <w:t>按照上述第</w:t>
      </w:r>
      <w:r>
        <w:t>（</w:t>
      </w:r>
      <w:r>
        <w:rPr>
          <w:rFonts w:ascii="Calibri" w:eastAsia="Calibri"/>
        </w:rPr>
        <w:t>1</w:t>
      </w:r>
      <w:r>
        <w:t>）</w:t>
      </w:r>
      <w:r>
        <w:rPr>
          <w:spacing w:val="-10"/>
        </w:rPr>
        <w:t>、</w:t>
      </w:r>
      <w:r>
        <w:t>（</w:t>
      </w:r>
      <w:r>
        <w:rPr>
          <w:rFonts w:ascii="Calibri" w:eastAsia="Calibri"/>
        </w:rPr>
        <w:t>2</w:t>
      </w:r>
      <w:r>
        <w:t>）</w:t>
      </w:r>
      <w:r>
        <w:rPr>
          <w:spacing w:val="-12"/>
        </w:rPr>
        <w:t>、</w:t>
      </w:r>
      <w:r>
        <w:t>（</w:t>
      </w:r>
      <w:r>
        <w:rPr>
          <w:rFonts w:ascii="Calibri" w:eastAsia="Calibri"/>
        </w:rPr>
        <w:t>3</w:t>
      </w:r>
      <w:r>
        <w:t>）点规定执行，</w:t>
      </w:r>
      <w:r>
        <w:rPr>
          <w:rFonts w:ascii="Calibri" w:eastAsia="Calibri"/>
        </w:rPr>
        <w:t xml:space="preserve">2016 </w:t>
      </w:r>
      <w:r>
        <w:rPr>
          <w:spacing w:val="-31"/>
        </w:rPr>
        <w:t xml:space="preserve">年 </w:t>
      </w:r>
      <w:r>
        <w:rPr>
          <w:rFonts w:ascii="Calibri" w:eastAsia="Calibri"/>
        </w:rPr>
        <w:t xml:space="preserve">8 </w:t>
      </w:r>
      <w:r>
        <w:rPr>
          <w:spacing w:val="-31"/>
        </w:rPr>
        <w:t xml:space="preserve">月 </w:t>
      </w:r>
      <w:r>
        <w:rPr>
          <w:rFonts w:ascii="Calibri" w:eastAsia="Calibri"/>
        </w:rPr>
        <w:t xml:space="preserve">1 </w:t>
      </w:r>
      <w:r>
        <w:t>日后开展的融资租</w:t>
      </w:r>
      <w:r>
        <w:rPr>
          <w:spacing w:val="-1"/>
        </w:rPr>
        <w:t>赁业务和融资性售后回租业务不得按照上述第</w:t>
      </w:r>
      <w:r>
        <w:rPr>
          <w:spacing w:val="-5"/>
        </w:rPr>
        <w:t>（</w:t>
      </w:r>
      <w:r>
        <w:rPr>
          <w:rFonts w:ascii="Calibri" w:eastAsia="Calibri"/>
          <w:spacing w:val="-5"/>
        </w:rPr>
        <w:t>1</w:t>
      </w:r>
      <w:r>
        <w:rPr>
          <w:spacing w:val="-5"/>
        </w:rPr>
        <w:t>）</w:t>
      </w:r>
      <w:r>
        <w:rPr>
          <w:spacing w:val="-24"/>
        </w:rPr>
        <w:t>、</w:t>
      </w:r>
      <w:r>
        <w:rPr>
          <w:spacing w:val="-5"/>
        </w:rPr>
        <w:t>（</w:t>
      </w:r>
      <w:r>
        <w:rPr>
          <w:rFonts w:ascii="Calibri" w:eastAsia="Calibri"/>
          <w:spacing w:val="-5"/>
        </w:rPr>
        <w:t>2</w:t>
      </w:r>
      <w:r>
        <w:rPr>
          <w:spacing w:val="-5"/>
        </w:rPr>
        <w:t>）</w:t>
      </w:r>
      <w:r>
        <w:rPr>
          <w:spacing w:val="-24"/>
        </w:rPr>
        <w:t>、</w:t>
      </w:r>
      <w:r>
        <w:rPr>
          <w:spacing w:val="-4"/>
        </w:rPr>
        <w:t>（</w:t>
      </w:r>
      <w:r>
        <w:rPr>
          <w:rFonts w:ascii="Calibri" w:eastAsia="Calibri"/>
          <w:spacing w:val="-4"/>
        </w:rPr>
        <w:t>3</w:t>
      </w:r>
      <w:r>
        <w:rPr>
          <w:spacing w:val="-4"/>
        </w:rPr>
        <w:t>）</w:t>
      </w:r>
      <w:r>
        <w:rPr>
          <w:spacing w:val="-3"/>
        </w:rPr>
        <w:t>点规定执行。</w:t>
      </w:r>
      <w:r>
        <w:rPr>
          <w:rFonts w:ascii="Calibri" w:eastAsia="Calibri"/>
        </w:rPr>
        <w:t>6.</w:t>
      </w:r>
      <w:r>
        <w:rPr>
          <w:spacing w:val="-4"/>
        </w:rPr>
        <w:t>航空运输企业的销售额，不包括代收的机场建设费和代售其他航空运输企业客票而代收转付的价款。</w:t>
      </w:r>
    </w:p>
    <w:p>
      <w:pPr>
        <w:pStyle w:val="8"/>
        <w:numPr>
          <w:ilvl w:val="0"/>
          <w:numId w:val="61"/>
        </w:numPr>
        <w:tabs>
          <w:tab w:val="left" w:pos="1984"/>
        </w:tabs>
        <w:spacing w:before="2" w:after="0" w:line="364" w:lineRule="auto"/>
        <w:ind w:left="1800" w:right="1795" w:firstLine="0"/>
        <w:jc w:val="left"/>
        <w:rPr>
          <w:rFonts w:hint="eastAsia" w:ascii="宋体" w:eastAsia="宋体"/>
          <w:sz w:val="24"/>
        </w:rPr>
      </w:pPr>
      <w:r>
        <w:rPr>
          <w:rFonts w:hint="eastAsia" w:ascii="宋体" w:eastAsia="宋体"/>
          <w:spacing w:val="-2"/>
          <w:sz w:val="24"/>
        </w:rPr>
        <w:t>试点纳税人中的一般纳税人</w:t>
      </w:r>
      <w:r>
        <w:rPr>
          <w:rFonts w:hint="eastAsia" w:ascii="宋体" w:eastAsia="宋体"/>
          <w:sz w:val="24"/>
        </w:rPr>
        <w:t>（以下称一般纳税人</w:t>
      </w:r>
      <w:r>
        <w:rPr>
          <w:rFonts w:hint="eastAsia" w:ascii="宋体" w:eastAsia="宋体"/>
          <w:spacing w:val="-12"/>
          <w:sz w:val="24"/>
        </w:rPr>
        <w:t>）</w:t>
      </w:r>
      <w:r>
        <w:rPr>
          <w:rFonts w:hint="eastAsia" w:ascii="宋体" w:eastAsia="宋体"/>
          <w:spacing w:val="-4"/>
          <w:sz w:val="24"/>
        </w:rPr>
        <w:t>提供客运场站服务，以其取</w:t>
      </w:r>
      <w:r>
        <w:rPr>
          <w:rFonts w:hint="eastAsia" w:ascii="宋体" w:eastAsia="宋体"/>
          <w:sz w:val="24"/>
        </w:rPr>
        <w:t>得的全部价款和价外费用，扣除支付给承运方运费后的余额为销售额。</w:t>
      </w:r>
    </w:p>
    <w:p>
      <w:pPr>
        <w:pStyle w:val="8"/>
        <w:numPr>
          <w:ilvl w:val="0"/>
          <w:numId w:val="61"/>
        </w:numPr>
        <w:tabs>
          <w:tab w:val="left" w:pos="1984"/>
        </w:tabs>
        <w:spacing w:before="2" w:after="0" w:line="364" w:lineRule="auto"/>
        <w:ind w:left="1800" w:right="1795" w:firstLine="0"/>
        <w:jc w:val="both"/>
        <w:rPr>
          <w:rFonts w:hint="eastAsia" w:ascii="宋体" w:eastAsia="宋体"/>
          <w:sz w:val="24"/>
        </w:rPr>
      </w:pPr>
      <w:r>
        <w:pict>
          <v:shape id="_x0000_s1077" o:spid="_x0000_s1077" o:spt="136" type="#_x0000_t136" style="position:absolute;left:0pt;margin-left:41.25pt;margin-top:39.7pt;height:132pt;width:528.05pt;mso-position-horizontal-relative:page;rotation:20643840f;z-index:-251603968;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宋体" w:eastAsia="宋体"/>
          <w:spacing w:val="-5"/>
          <w:sz w:val="24"/>
        </w:rPr>
        <w:t>试点纳税人提供旅游服务，可以选择以取得的全部价款和价外费用，扣除向旅</w:t>
      </w:r>
      <w:r>
        <w:rPr>
          <w:rFonts w:hint="eastAsia" w:ascii="宋体" w:eastAsia="宋体"/>
          <w:spacing w:val="-6"/>
          <w:sz w:val="24"/>
        </w:rPr>
        <w:t>游服务购买方收取并支付给其他单位或者个人的住宿费、餐饮费、交通费、签证</w:t>
      </w:r>
      <w:r>
        <w:rPr>
          <w:rFonts w:hint="eastAsia" w:ascii="宋体" w:eastAsia="宋体"/>
          <w:sz w:val="24"/>
        </w:rPr>
        <w:t>费、门票费和支付给其他接团旅游企业的旅游费用后的余额为销售额。</w:t>
      </w:r>
    </w:p>
    <w:p>
      <w:pPr>
        <w:pStyle w:val="3"/>
        <w:spacing w:line="364" w:lineRule="auto"/>
        <w:ind w:right="1797"/>
      </w:pPr>
      <w:r>
        <w:rPr>
          <w:spacing w:val="-7"/>
        </w:rPr>
        <w:t>选择上述办法计算销售额的试点纳税人，向旅游服务购买方收取并支付的上述费</w:t>
      </w:r>
      <w:r>
        <w:t>用，不得开具增值税专用发票，可以开具普通发票。</w:t>
      </w:r>
    </w:p>
    <w:p>
      <w:pPr>
        <w:pStyle w:val="8"/>
        <w:numPr>
          <w:ilvl w:val="0"/>
          <w:numId w:val="61"/>
        </w:numPr>
        <w:tabs>
          <w:tab w:val="left" w:pos="1984"/>
        </w:tabs>
        <w:spacing w:before="2" w:after="0" w:line="364" w:lineRule="auto"/>
        <w:ind w:left="1800" w:right="1797" w:firstLine="0"/>
        <w:jc w:val="left"/>
        <w:rPr>
          <w:rFonts w:hint="eastAsia" w:ascii="宋体" w:eastAsia="宋体"/>
          <w:sz w:val="24"/>
        </w:rPr>
      </w:pPr>
      <w:r>
        <w:rPr>
          <w:rFonts w:hint="eastAsia" w:ascii="宋体" w:eastAsia="宋体"/>
          <w:spacing w:val="-3"/>
          <w:sz w:val="24"/>
        </w:rPr>
        <w:t>试点纳税人提供建筑服务适用简易计税方法的，以取得的全部价款和价外费用</w:t>
      </w:r>
      <w:r>
        <w:rPr>
          <w:rFonts w:hint="eastAsia" w:ascii="宋体" w:eastAsia="宋体"/>
          <w:sz w:val="24"/>
        </w:rPr>
        <w:t>扣除支付的分包款后的余额为销售额。</w:t>
      </w:r>
    </w:p>
    <w:p>
      <w:pPr>
        <w:pStyle w:val="8"/>
        <w:numPr>
          <w:ilvl w:val="0"/>
          <w:numId w:val="61"/>
        </w:numPr>
        <w:tabs>
          <w:tab w:val="left" w:pos="2107"/>
        </w:tabs>
        <w:spacing w:before="1" w:after="0" w:line="364" w:lineRule="auto"/>
        <w:ind w:left="1800" w:right="1797" w:firstLine="0"/>
        <w:jc w:val="both"/>
        <w:rPr>
          <w:rFonts w:hint="eastAsia" w:ascii="宋体" w:eastAsia="宋体"/>
          <w:sz w:val="24"/>
        </w:rPr>
      </w:pPr>
      <w:r>
        <w:rPr>
          <w:rFonts w:hint="eastAsia" w:ascii="宋体" w:eastAsia="宋体"/>
          <w:sz w:val="24"/>
        </w:rPr>
        <w:t>房地产开发企业中的一般纳税人销售其开发的房地产项目（选择简易计税方法的房地产老项目除外</w:t>
      </w:r>
      <w:r>
        <w:rPr>
          <w:rFonts w:hint="eastAsia" w:ascii="宋体" w:eastAsia="宋体"/>
          <w:spacing w:val="-32"/>
          <w:sz w:val="24"/>
        </w:rPr>
        <w:t>），</w:t>
      </w:r>
      <w:r>
        <w:rPr>
          <w:rFonts w:hint="eastAsia" w:ascii="宋体" w:eastAsia="宋体"/>
          <w:spacing w:val="-4"/>
          <w:sz w:val="24"/>
        </w:rPr>
        <w:t>以取得的全部价款和价外费用，扣除受让土地时向政</w:t>
      </w:r>
      <w:r>
        <w:rPr>
          <w:rFonts w:hint="eastAsia" w:ascii="宋体" w:eastAsia="宋体"/>
          <w:sz w:val="24"/>
        </w:rPr>
        <w:t>府部门支付的土地价款后的余额为销售额。</w:t>
      </w:r>
    </w:p>
    <w:p>
      <w:pPr>
        <w:pStyle w:val="3"/>
        <w:spacing w:before="2"/>
        <w:jc w:val="both"/>
        <w:rPr>
          <w:rFonts w:ascii="Calibri" w:eastAsia="Calibri"/>
        </w:rPr>
      </w:pPr>
      <w:r>
        <w:t xml:space="preserve">房地产老项目，是指《建筑工程施工许可证》注明的合同开工日期在 </w:t>
      </w:r>
      <w:r>
        <w:rPr>
          <w:rFonts w:ascii="Calibri" w:eastAsia="Calibri"/>
        </w:rPr>
        <w:t xml:space="preserve">2016 </w:t>
      </w:r>
      <w:r>
        <w:t xml:space="preserve">年 </w:t>
      </w:r>
      <w:r>
        <w:rPr>
          <w:rFonts w:ascii="Calibri" w:eastAsia="Calibri"/>
        </w:rPr>
        <w:t>4</w:t>
      </w:r>
    </w:p>
    <w:p>
      <w:pPr>
        <w:pStyle w:val="3"/>
        <w:spacing w:before="160"/>
      </w:pPr>
      <w:r>
        <w:t xml:space="preserve">月 </w:t>
      </w:r>
      <w:r>
        <w:rPr>
          <w:rFonts w:ascii="Calibri" w:eastAsia="Calibri"/>
        </w:rPr>
        <w:t xml:space="preserve">30 </w:t>
      </w:r>
      <w:r>
        <w:t>日前的房地产项目。</w:t>
      </w:r>
    </w:p>
    <w:p>
      <w:pPr>
        <w:pStyle w:val="8"/>
        <w:numPr>
          <w:ilvl w:val="0"/>
          <w:numId w:val="61"/>
        </w:numPr>
        <w:tabs>
          <w:tab w:val="left" w:pos="2107"/>
        </w:tabs>
        <w:spacing w:before="161" w:after="0" w:line="364" w:lineRule="auto"/>
        <w:ind w:left="1800" w:right="1677" w:firstLine="0"/>
        <w:jc w:val="left"/>
        <w:rPr>
          <w:rFonts w:hint="eastAsia" w:ascii="宋体" w:eastAsia="宋体"/>
          <w:sz w:val="24"/>
        </w:rPr>
      </w:pPr>
      <w:r>
        <w:rPr>
          <w:rFonts w:hint="eastAsia" w:ascii="宋体" w:eastAsia="宋体"/>
          <w:spacing w:val="-5"/>
          <w:sz w:val="24"/>
        </w:rPr>
        <w:t xml:space="preserve">试点纳税人按照上述 </w:t>
      </w:r>
      <w:r>
        <w:rPr>
          <w:rFonts w:ascii="Calibri" w:eastAsia="Calibri"/>
          <w:sz w:val="24"/>
        </w:rPr>
        <w:t>4</w:t>
      </w:r>
      <w:r>
        <w:rPr>
          <w:rFonts w:hint="eastAsia" w:ascii="宋体" w:eastAsia="宋体"/>
          <w:sz w:val="24"/>
        </w:rPr>
        <w:t>－</w:t>
      </w:r>
      <w:r>
        <w:rPr>
          <w:rFonts w:ascii="Calibri" w:eastAsia="Calibri"/>
          <w:sz w:val="24"/>
        </w:rPr>
        <w:t>10</w:t>
      </w:r>
      <w:r>
        <w:rPr>
          <w:rFonts w:ascii="Calibri" w:eastAsia="Calibri"/>
          <w:spacing w:val="21"/>
          <w:sz w:val="24"/>
        </w:rPr>
        <w:t xml:space="preserve"> </w:t>
      </w:r>
      <w:r>
        <w:rPr>
          <w:rFonts w:hint="eastAsia" w:ascii="宋体" w:eastAsia="宋体"/>
          <w:sz w:val="24"/>
        </w:rPr>
        <w:t xml:space="preserve">款的规定从全部价款和价外费用中扣除的价款， </w:t>
      </w:r>
      <w:r>
        <w:rPr>
          <w:rFonts w:hint="eastAsia" w:ascii="宋体" w:eastAsia="宋体"/>
          <w:spacing w:val="-14"/>
          <w:sz w:val="24"/>
        </w:rPr>
        <w:t>应当取得符合法律、行政法规和国家税务总局规定的有效凭证。否则，不得扣除。</w:t>
      </w:r>
      <w:r>
        <w:rPr>
          <w:rFonts w:hint="eastAsia" w:ascii="宋体" w:eastAsia="宋体"/>
          <w:sz w:val="24"/>
        </w:rPr>
        <w:t>上述凭证是指：</w:t>
      </w:r>
    </w:p>
    <w:p>
      <w:pPr>
        <w:pStyle w:val="8"/>
        <w:numPr>
          <w:ilvl w:val="0"/>
          <w:numId w:val="62"/>
        </w:numPr>
        <w:tabs>
          <w:tab w:val="left" w:pos="2401"/>
        </w:tabs>
        <w:spacing w:before="1" w:after="0" w:line="240" w:lineRule="auto"/>
        <w:ind w:left="2401" w:right="0" w:hanging="601"/>
        <w:jc w:val="left"/>
        <w:rPr>
          <w:rFonts w:hint="eastAsia" w:ascii="宋体" w:eastAsia="宋体"/>
          <w:sz w:val="24"/>
        </w:rPr>
      </w:pPr>
      <w:r>
        <w:rPr>
          <w:rFonts w:hint="eastAsia" w:ascii="宋体" w:eastAsia="宋体"/>
          <w:sz w:val="24"/>
        </w:rPr>
        <w:t>支付给境内单位或者个人的款项，以发票为合法有效凭证。</w:t>
      </w:r>
    </w:p>
    <w:p>
      <w:pPr>
        <w:pStyle w:val="8"/>
        <w:numPr>
          <w:ilvl w:val="0"/>
          <w:numId w:val="62"/>
        </w:numPr>
        <w:tabs>
          <w:tab w:val="left" w:pos="2404"/>
        </w:tabs>
        <w:spacing w:before="161" w:after="0" w:line="364" w:lineRule="auto"/>
        <w:ind w:left="1800" w:right="1797" w:firstLine="0"/>
        <w:jc w:val="both"/>
        <w:rPr>
          <w:rFonts w:hint="eastAsia" w:ascii="宋体" w:eastAsia="宋体"/>
          <w:sz w:val="24"/>
        </w:rPr>
      </w:pPr>
      <w:r>
        <w:rPr>
          <w:rFonts w:hint="eastAsia" w:ascii="宋体" w:eastAsia="宋体"/>
          <w:spacing w:val="-1"/>
          <w:sz w:val="24"/>
        </w:rPr>
        <w:t>支付给境外单位或者个人的款项，以该单位或者个人的签收单据为合法有</w:t>
      </w:r>
      <w:r>
        <w:rPr>
          <w:rFonts w:hint="eastAsia" w:ascii="宋体" w:eastAsia="宋体"/>
          <w:spacing w:val="-11"/>
          <w:sz w:val="24"/>
        </w:rPr>
        <w:t>效凭证，税务机关对签收单据有疑议的，可以要求其提供境外公证机构的确认证</w:t>
      </w:r>
      <w:r>
        <w:rPr>
          <w:rFonts w:hint="eastAsia" w:ascii="宋体" w:eastAsia="宋体"/>
          <w:sz w:val="24"/>
        </w:rPr>
        <w:t>明。</w:t>
      </w:r>
    </w:p>
    <w:p>
      <w:pPr>
        <w:spacing w:after="0" w:line="364" w:lineRule="auto"/>
        <w:jc w:val="both"/>
        <w:rPr>
          <w:rFonts w:hint="eastAsia" w:ascii="宋体" w:eastAsia="宋体"/>
          <w:sz w:val="24"/>
        </w:rPr>
        <w:sectPr>
          <w:pgSz w:w="11910" w:h="16840"/>
          <w:pgMar w:top="1540" w:right="0" w:bottom="1380" w:left="0" w:header="965" w:footer="1182" w:gutter="0"/>
          <w:cols w:space="720" w:num="1"/>
        </w:sectPr>
      </w:pPr>
    </w:p>
    <w:p>
      <w:pPr>
        <w:pStyle w:val="3"/>
        <w:spacing w:before="2"/>
        <w:ind w:left="0"/>
        <w:rPr>
          <w:sz w:val="12"/>
        </w:rPr>
      </w:pPr>
    </w:p>
    <w:p>
      <w:pPr>
        <w:pStyle w:val="8"/>
        <w:numPr>
          <w:ilvl w:val="0"/>
          <w:numId w:val="62"/>
        </w:numPr>
        <w:tabs>
          <w:tab w:val="left" w:pos="2401"/>
        </w:tabs>
        <w:spacing w:before="67" w:after="0" w:line="240" w:lineRule="auto"/>
        <w:ind w:left="2401" w:right="0" w:hanging="601"/>
        <w:jc w:val="left"/>
        <w:rPr>
          <w:rFonts w:hint="eastAsia" w:ascii="宋体" w:eastAsia="宋体"/>
          <w:sz w:val="24"/>
        </w:rPr>
      </w:pPr>
      <w:r>
        <w:rPr>
          <w:rFonts w:hint="eastAsia" w:ascii="宋体" w:eastAsia="宋体"/>
          <w:sz w:val="24"/>
        </w:rPr>
        <w:t>缴纳的税款，以完税凭证为合法有效凭证。</w:t>
      </w:r>
    </w:p>
    <w:p>
      <w:pPr>
        <w:pStyle w:val="8"/>
        <w:numPr>
          <w:ilvl w:val="0"/>
          <w:numId w:val="62"/>
        </w:numPr>
        <w:tabs>
          <w:tab w:val="left" w:pos="2404"/>
        </w:tabs>
        <w:spacing w:before="160" w:after="0" w:line="364" w:lineRule="auto"/>
        <w:ind w:left="1800" w:right="1797" w:firstLine="0"/>
        <w:jc w:val="left"/>
        <w:rPr>
          <w:rFonts w:hint="eastAsia" w:ascii="宋体" w:eastAsia="宋体"/>
          <w:sz w:val="24"/>
        </w:rPr>
      </w:pPr>
      <w:r>
        <w:rPr>
          <w:rFonts w:hint="eastAsia" w:ascii="宋体" w:eastAsia="宋体"/>
          <w:spacing w:val="-1"/>
          <w:sz w:val="24"/>
        </w:rPr>
        <w:t>扣除的政府性基金、行政事业性收费或者向政府支付的土地价款，以省级</w:t>
      </w:r>
      <w:r>
        <w:rPr>
          <w:rFonts w:hint="eastAsia" w:ascii="宋体" w:eastAsia="宋体"/>
          <w:sz w:val="24"/>
        </w:rPr>
        <w:t>以上（含省级）财政部门监（印）制的财政票据为合法有效凭证。</w:t>
      </w:r>
    </w:p>
    <w:p>
      <w:pPr>
        <w:pStyle w:val="8"/>
        <w:numPr>
          <w:ilvl w:val="0"/>
          <w:numId w:val="62"/>
        </w:numPr>
        <w:tabs>
          <w:tab w:val="left" w:pos="2401"/>
        </w:tabs>
        <w:spacing w:before="2" w:after="0" w:line="240" w:lineRule="auto"/>
        <w:ind w:left="2401" w:right="0" w:hanging="601"/>
        <w:jc w:val="left"/>
        <w:rPr>
          <w:rFonts w:hint="eastAsia" w:ascii="宋体" w:eastAsia="宋体"/>
          <w:sz w:val="24"/>
        </w:rPr>
      </w:pPr>
      <w:r>
        <w:rPr>
          <w:rFonts w:hint="eastAsia" w:ascii="宋体" w:eastAsia="宋体"/>
          <w:sz w:val="24"/>
        </w:rPr>
        <w:t>国家税务总局规定的其他凭证。</w:t>
      </w:r>
    </w:p>
    <w:p>
      <w:pPr>
        <w:pStyle w:val="3"/>
        <w:spacing w:before="160" w:line="364" w:lineRule="auto"/>
        <w:ind w:right="1797"/>
      </w:pPr>
      <w:r>
        <w:rPr>
          <w:spacing w:val="-6"/>
        </w:rPr>
        <w:t>纳税人取得的上述凭证属于增值税扣税凭证的，其进项税额不得从销项税额中抵</w:t>
      </w:r>
      <w:r>
        <w:t>扣。</w:t>
      </w:r>
    </w:p>
    <w:p>
      <w:pPr>
        <w:pStyle w:val="3"/>
      </w:pPr>
      <w:r>
        <w:rPr>
          <w:rFonts w:ascii="Calibri" w:eastAsia="Calibri"/>
        </w:rPr>
        <w:t>(</w:t>
      </w:r>
      <w:r>
        <w:t>四</w:t>
      </w:r>
      <w:r>
        <w:rPr>
          <w:rFonts w:ascii="Calibri" w:eastAsia="Calibri"/>
        </w:rPr>
        <w:t>)</w:t>
      </w:r>
      <w:r>
        <w:t>进项税额。</w:t>
      </w:r>
    </w:p>
    <w:p>
      <w:pPr>
        <w:pStyle w:val="8"/>
        <w:numPr>
          <w:ilvl w:val="0"/>
          <w:numId w:val="63"/>
        </w:numPr>
        <w:tabs>
          <w:tab w:val="left" w:pos="1984"/>
        </w:tabs>
        <w:spacing w:before="161" w:after="0" w:line="240" w:lineRule="auto"/>
        <w:ind w:left="1983" w:right="0" w:hanging="184"/>
        <w:jc w:val="both"/>
        <w:rPr>
          <w:rFonts w:hint="eastAsia" w:ascii="宋体" w:eastAsia="宋体"/>
          <w:sz w:val="24"/>
        </w:rPr>
      </w:pPr>
      <w:r>
        <w:rPr>
          <w:rFonts w:hint="eastAsia" w:ascii="宋体" w:eastAsia="宋体"/>
          <w:spacing w:val="-8"/>
          <w:sz w:val="24"/>
        </w:rPr>
        <w:t>适用一般计税方法的试点纳税人，</w:t>
      </w:r>
      <w:r>
        <w:rPr>
          <w:rFonts w:ascii="Calibri" w:eastAsia="Calibri"/>
          <w:sz w:val="24"/>
        </w:rPr>
        <w:t>20</w:t>
      </w:r>
      <w:r>
        <w:rPr>
          <w:rFonts w:ascii="Calibri" w:eastAsia="Calibri"/>
          <w:spacing w:val="-2"/>
          <w:sz w:val="24"/>
        </w:rPr>
        <w:t>1</w:t>
      </w:r>
      <w:r>
        <w:rPr>
          <w:rFonts w:ascii="Calibri" w:eastAsia="Calibri"/>
          <w:sz w:val="24"/>
        </w:rPr>
        <w:t>6</w:t>
      </w:r>
      <w:r>
        <w:rPr>
          <w:rFonts w:ascii="Calibri" w:eastAsia="Calibri"/>
          <w:spacing w:val="4"/>
          <w:sz w:val="24"/>
        </w:rPr>
        <w:t xml:space="preserve"> </w:t>
      </w:r>
      <w:r>
        <w:rPr>
          <w:rFonts w:hint="eastAsia" w:ascii="宋体" w:eastAsia="宋体"/>
          <w:spacing w:val="-30"/>
          <w:sz w:val="24"/>
        </w:rPr>
        <w:t xml:space="preserve">年 </w:t>
      </w:r>
      <w:r>
        <w:rPr>
          <w:rFonts w:ascii="Calibri" w:eastAsia="Calibri"/>
          <w:sz w:val="24"/>
        </w:rPr>
        <w:t>5</w:t>
      </w:r>
      <w:r>
        <w:rPr>
          <w:rFonts w:ascii="Calibri" w:eastAsia="Calibri"/>
          <w:spacing w:val="6"/>
          <w:sz w:val="24"/>
        </w:rPr>
        <w:t xml:space="preserve"> </w:t>
      </w:r>
      <w:r>
        <w:rPr>
          <w:rFonts w:hint="eastAsia" w:ascii="宋体" w:eastAsia="宋体"/>
          <w:spacing w:val="-30"/>
          <w:sz w:val="24"/>
        </w:rPr>
        <w:t xml:space="preserve">月 </w:t>
      </w:r>
      <w:r>
        <w:rPr>
          <w:rFonts w:ascii="Calibri" w:eastAsia="Calibri"/>
          <w:sz w:val="24"/>
        </w:rPr>
        <w:t>1</w:t>
      </w:r>
      <w:r>
        <w:rPr>
          <w:rFonts w:ascii="Calibri" w:eastAsia="Calibri"/>
          <w:spacing w:val="6"/>
          <w:sz w:val="24"/>
        </w:rPr>
        <w:t xml:space="preserve"> </w:t>
      </w:r>
      <w:r>
        <w:rPr>
          <w:rFonts w:hint="eastAsia" w:ascii="宋体" w:eastAsia="宋体"/>
          <w:sz w:val="24"/>
        </w:rPr>
        <w:t>日后取得并在会计制度上按固</w:t>
      </w:r>
    </w:p>
    <w:p>
      <w:pPr>
        <w:pStyle w:val="3"/>
        <w:spacing w:before="160" w:line="364" w:lineRule="auto"/>
        <w:ind w:right="1795"/>
        <w:jc w:val="both"/>
      </w:pPr>
      <w:r>
        <w:rPr>
          <w:spacing w:val="-6"/>
        </w:rPr>
        <w:t xml:space="preserve">定资产核算的不动产或者 </w:t>
      </w:r>
      <w:r>
        <w:rPr>
          <w:rFonts w:ascii="Calibri" w:eastAsia="Calibri"/>
        </w:rPr>
        <w:t xml:space="preserve">2016 </w:t>
      </w:r>
      <w:r>
        <w:rPr>
          <w:spacing w:val="-29"/>
        </w:rPr>
        <w:t xml:space="preserve">年 </w:t>
      </w:r>
      <w:r>
        <w:rPr>
          <w:rFonts w:ascii="Calibri" w:eastAsia="Calibri"/>
        </w:rPr>
        <w:t xml:space="preserve">5 </w:t>
      </w:r>
      <w:r>
        <w:rPr>
          <w:spacing w:val="-29"/>
        </w:rPr>
        <w:t xml:space="preserve">月 </w:t>
      </w:r>
      <w:r>
        <w:rPr>
          <w:rFonts w:ascii="Calibri" w:eastAsia="Calibri"/>
        </w:rPr>
        <w:t xml:space="preserve">1 </w:t>
      </w:r>
      <w:r>
        <w:rPr>
          <w:spacing w:val="-1"/>
        </w:rPr>
        <w:t>日后取得的不动产在建工程，其进项税</w:t>
      </w:r>
      <w:r>
        <w:rPr>
          <w:spacing w:val="-6"/>
        </w:rPr>
        <w:t xml:space="preserve">额应自取得之日起分 </w:t>
      </w:r>
      <w:r>
        <w:rPr>
          <w:rFonts w:ascii="Calibri" w:eastAsia="Calibri"/>
        </w:rPr>
        <w:t xml:space="preserve">2 </w:t>
      </w:r>
      <w:r>
        <w:rPr>
          <w:spacing w:val="-8"/>
        </w:rPr>
        <w:t xml:space="preserve">年从销项税额中抵扣，第一年抵扣比例为 </w:t>
      </w:r>
      <w:r>
        <w:rPr>
          <w:rFonts w:ascii="Calibri" w:eastAsia="Calibri"/>
          <w:spacing w:val="-12"/>
        </w:rPr>
        <w:t>60%</w:t>
      </w:r>
      <w:r>
        <w:rPr>
          <w:spacing w:val="-6"/>
        </w:rPr>
        <w:t>，第二年抵</w:t>
      </w:r>
      <w:r>
        <w:rPr>
          <w:spacing w:val="-13"/>
        </w:rPr>
        <w:t xml:space="preserve">扣比例为 </w:t>
      </w:r>
      <w:r>
        <w:rPr>
          <w:rFonts w:ascii="Calibri" w:eastAsia="Calibri"/>
        </w:rPr>
        <w:t>40%</w:t>
      </w:r>
      <w:r>
        <w:t>。</w:t>
      </w:r>
    </w:p>
    <w:p>
      <w:pPr>
        <w:pStyle w:val="3"/>
        <w:spacing w:before="2" w:line="364" w:lineRule="auto"/>
        <w:ind w:right="1797"/>
      </w:pPr>
      <w:r>
        <w:pict>
          <v:shape id="_x0000_s1078" o:spid="_x0000_s1078" o:spt="136" type="#_x0000_t136" style="position:absolute;left:0pt;margin-left:41.25pt;margin-top:16.3pt;height:132pt;width:528.05pt;mso-position-horizontal-relative:page;rotation:20643840f;z-index:-251602944;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spacing w:val="-9"/>
        </w:rPr>
        <w:t>取得不动产，包括以直接购买、接受捐赠、接受投资入股、自建以及抵债等各种</w:t>
      </w:r>
      <w:r>
        <w:t>形式取得不动产，不包括房地产开发企业自行开发的房地产项目。</w:t>
      </w:r>
    </w:p>
    <w:p>
      <w:pPr>
        <w:pStyle w:val="3"/>
        <w:spacing w:line="364" w:lineRule="auto"/>
        <w:ind w:right="1797"/>
      </w:pPr>
      <w:r>
        <w:rPr>
          <w:spacing w:val="-5"/>
        </w:rPr>
        <w:t>融资租入的不动产以及在施工现场修建的临时建筑物、构筑物，其进项税额不适</w:t>
      </w:r>
      <w:r>
        <w:rPr>
          <w:spacing w:val="-12"/>
        </w:rPr>
        <w:t xml:space="preserve">用上述分 </w:t>
      </w:r>
      <w:r>
        <w:rPr>
          <w:rFonts w:ascii="Calibri" w:eastAsia="Calibri"/>
        </w:rPr>
        <w:t xml:space="preserve">2 </w:t>
      </w:r>
      <w:r>
        <w:t>年抵扣的规定。</w:t>
      </w:r>
    </w:p>
    <w:p>
      <w:pPr>
        <w:pStyle w:val="8"/>
        <w:numPr>
          <w:ilvl w:val="0"/>
          <w:numId w:val="63"/>
        </w:numPr>
        <w:tabs>
          <w:tab w:val="left" w:pos="1984"/>
        </w:tabs>
        <w:spacing w:before="1" w:after="0" w:line="364" w:lineRule="auto"/>
        <w:ind w:left="1800" w:right="1792" w:firstLine="0"/>
        <w:jc w:val="both"/>
        <w:rPr>
          <w:rFonts w:hint="eastAsia" w:ascii="宋体" w:eastAsia="宋体"/>
          <w:sz w:val="24"/>
        </w:rPr>
      </w:pPr>
      <w:r>
        <w:rPr>
          <w:rFonts w:hint="eastAsia" w:ascii="宋体" w:eastAsia="宋体"/>
          <w:spacing w:val="-5"/>
          <w:sz w:val="24"/>
        </w:rPr>
        <w:t>按照《试点实施办法》第二十七条第</w:t>
      </w:r>
      <w:r>
        <w:rPr>
          <w:rFonts w:hint="eastAsia" w:ascii="宋体" w:eastAsia="宋体"/>
          <w:sz w:val="24"/>
        </w:rPr>
        <w:t>（一</w:t>
      </w:r>
      <w:r>
        <w:rPr>
          <w:rFonts w:hint="eastAsia" w:ascii="宋体" w:eastAsia="宋体"/>
          <w:spacing w:val="-8"/>
          <w:sz w:val="24"/>
        </w:rPr>
        <w:t>）</w:t>
      </w:r>
      <w:r>
        <w:rPr>
          <w:rFonts w:hint="eastAsia" w:ascii="宋体" w:eastAsia="宋体"/>
          <w:spacing w:val="-1"/>
          <w:sz w:val="24"/>
        </w:rPr>
        <w:t>项规定不得抵扣且未抵扣进项税额</w:t>
      </w:r>
      <w:r>
        <w:rPr>
          <w:rFonts w:hint="eastAsia" w:ascii="宋体" w:eastAsia="宋体"/>
          <w:spacing w:val="-10"/>
          <w:sz w:val="24"/>
        </w:rPr>
        <w:t>的固定资产、无形资产、不动产，发生用途改变，用于允许抵扣进项税额的应税</w:t>
      </w:r>
      <w:r>
        <w:rPr>
          <w:rFonts w:hint="eastAsia" w:ascii="宋体" w:eastAsia="宋体"/>
          <w:sz w:val="24"/>
        </w:rPr>
        <w:t>项目，可在用途改变的次月按照下列公式计算可以抵扣的进项税额：</w:t>
      </w:r>
    </w:p>
    <w:p>
      <w:pPr>
        <w:pStyle w:val="3"/>
        <w:spacing w:before="2" w:line="364" w:lineRule="auto"/>
        <w:ind w:right="1725"/>
      </w:pPr>
      <w:r>
        <w:t>可以抵扣的进项税额</w:t>
      </w:r>
      <w:r>
        <w:rPr>
          <w:rFonts w:ascii="Calibri" w:hAnsi="Calibri" w:eastAsia="Calibri"/>
        </w:rPr>
        <w:t>=</w:t>
      </w:r>
      <w:r>
        <w:t>固定资产、无形资产、不动产净值</w:t>
      </w:r>
      <w:r>
        <w:rPr>
          <w:rFonts w:ascii="Calibri" w:hAnsi="Calibri" w:eastAsia="Calibri"/>
        </w:rPr>
        <w:t>/</w:t>
      </w:r>
      <w:r>
        <w:t>（</w:t>
      </w:r>
      <w:r>
        <w:rPr>
          <w:rFonts w:ascii="Calibri" w:hAnsi="Calibri" w:eastAsia="Calibri"/>
        </w:rPr>
        <w:t>1+</w:t>
      </w:r>
      <w:r>
        <w:t>适用税率）×适用税率</w:t>
      </w:r>
    </w:p>
    <w:p>
      <w:pPr>
        <w:pStyle w:val="3"/>
      </w:pPr>
      <w:r>
        <w:t>上述可以抵扣的进项税额应取得合法有效的增值税扣税凭证。</w:t>
      </w:r>
    </w:p>
    <w:p>
      <w:pPr>
        <w:pStyle w:val="8"/>
        <w:numPr>
          <w:ilvl w:val="0"/>
          <w:numId w:val="63"/>
        </w:numPr>
        <w:tabs>
          <w:tab w:val="left" w:pos="1984"/>
        </w:tabs>
        <w:spacing w:before="161" w:after="0" w:line="364" w:lineRule="auto"/>
        <w:ind w:left="1800" w:right="1797" w:firstLine="0"/>
        <w:jc w:val="left"/>
        <w:rPr>
          <w:rFonts w:hint="eastAsia" w:ascii="宋体" w:eastAsia="宋体"/>
          <w:sz w:val="24"/>
        </w:rPr>
      </w:pPr>
      <w:r>
        <w:rPr>
          <w:rFonts w:hint="eastAsia" w:ascii="宋体" w:eastAsia="宋体"/>
          <w:spacing w:val="-3"/>
          <w:sz w:val="24"/>
        </w:rPr>
        <w:t>纳税人接受贷款服务向贷款方支付的与该笔贷款直接相关的投融资顾问费、手</w:t>
      </w:r>
      <w:r>
        <w:rPr>
          <w:rFonts w:hint="eastAsia" w:ascii="宋体" w:eastAsia="宋体"/>
          <w:sz w:val="24"/>
        </w:rPr>
        <w:t>续费、咨询费等费用，其进项税额不得从销项税额中抵扣。</w:t>
      </w:r>
    </w:p>
    <w:p>
      <w:pPr>
        <w:pStyle w:val="3"/>
      </w:pPr>
      <w:r>
        <w:t>（五）一般纳税人资格登记。</w:t>
      </w:r>
    </w:p>
    <w:p>
      <w:pPr>
        <w:pStyle w:val="3"/>
        <w:spacing w:before="161" w:line="364" w:lineRule="auto"/>
        <w:ind w:right="1795"/>
      </w:pPr>
      <w:r>
        <w:rPr>
          <w:spacing w:val="-6"/>
        </w:rPr>
        <w:t xml:space="preserve">《试点实施办法》第三条规定的年应税销售额标准为 </w:t>
      </w:r>
      <w:r>
        <w:rPr>
          <w:rFonts w:ascii="Calibri" w:eastAsia="Calibri"/>
        </w:rPr>
        <w:t xml:space="preserve">500 </w:t>
      </w:r>
      <w:r>
        <w:rPr>
          <w:spacing w:val="-12"/>
        </w:rPr>
        <w:t>万元</w:t>
      </w:r>
      <w:r>
        <w:t>（含本数</w:t>
      </w:r>
      <w:r>
        <w:rPr>
          <w:spacing w:val="-24"/>
        </w:rPr>
        <w:t>）</w:t>
      </w:r>
      <w:r>
        <w:rPr>
          <w:spacing w:val="-14"/>
        </w:rPr>
        <w:t>。财政</w:t>
      </w:r>
      <w:r>
        <w:t>部和国家税务总局可以对年应税销售额标准进行调整。</w:t>
      </w:r>
    </w:p>
    <w:p>
      <w:pPr>
        <w:pStyle w:val="3"/>
      </w:pPr>
      <w:r>
        <w:t>（六）计税方法。</w:t>
      </w:r>
    </w:p>
    <w:p>
      <w:pPr>
        <w:pStyle w:val="3"/>
        <w:spacing w:before="160"/>
      </w:pPr>
      <w:r>
        <w:t>一般纳税人发生下列应税行为可以选择适用简易计税方法计税：</w:t>
      </w:r>
    </w:p>
    <w:p>
      <w:pPr>
        <w:pStyle w:val="8"/>
        <w:numPr>
          <w:ilvl w:val="0"/>
          <w:numId w:val="64"/>
        </w:numPr>
        <w:tabs>
          <w:tab w:val="left" w:pos="1984"/>
        </w:tabs>
        <w:spacing w:before="161" w:after="0" w:line="240" w:lineRule="auto"/>
        <w:ind w:left="1983" w:right="0" w:hanging="184"/>
        <w:jc w:val="left"/>
        <w:rPr>
          <w:rFonts w:hint="eastAsia" w:ascii="宋体" w:eastAsia="宋体"/>
          <w:sz w:val="24"/>
        </w:rPr>
      </w:pPr>
      <w:r>
        <w:rPr>
          <w:rFonts w:hint="eastAsia" w:ascii="宋体" w:eastAsia="宋体"/>
          <w:sz w:val="24"/>
        </w:rPr>
        <w:t>公共交通运输服务。</w:t>
      </w:r>
    </w:p>
    <w:p>
      <w:pPr>
        <w:spacing w:after="0" w:line="240" w:lineRule="auto"/>
        <w:jc w:val="left"/>
        <w:rPr>
          <w:rFonts w:hint="eastAsia" w:ascii="宋体" w:eastAsia="宋体"/>
          <w:sz w:val="24"/>
        </w:rPr>
        <w:sectPr>
          <w:pgSz w:w="11910" w:h="16840"/>
          <w:pgMar w:top="1540" w:right="0" w:bottom="1380" w:left="0" w:header="965" w:footer="1182" w:gutter="0"/>
          <w:cols w:space="720" w:num="1"/>
        </w:sectPr>
      </w:pPr>
    </w:p>
    <w:p>
      <w:pPr>
        <w:pStyle w:val="3"/>
        <w:spacing w:before="2"/>
        <w:ind w:left="0"/>
        <w:rPr>
          <w:sz w:val="12"/>
        </w:rPr>
      </w:pPr>
    </w:p>
    <w:p>
      <w:pPr>
        <w:pStyle w:val="3"/>
        <w:spacing w:before="67" w:line="364" w:lineRule="auto"/>
        <w:ind w:right="1797"/>
      </w:pPr>
      <w:r>
        <w:rPr>
          <w:spacing w:val="-8"/>
        </w:rPr>
        <w:t>公共交通运输服务，包括轮客渡、公交客运、地铁、城市轻轨、出租车、长途客</w:t>
      </w:r>
      <w:r>
        <w:t>运、班车。</w:t>
      </w:r>
    </w:p>
    <w:p>
      <w:pPr>
        <w:pStyle w:val="3"/>
        <w:spacing w:line="364" w:lineRule="auto"/>
        <w:ind w:right="1797"/>
      </w:pPr>
      <w:r>
        <w:rPr>
          <w:spacing w:val="-12"/>
        </w:rPr>
        <w:t>班车，是指按固定路线、固定时间运营并在固定站点停靠的运送旅客的陆路运输</w:t>
      </w:r>
      <w:r>
        <w:t>服务。</w:t>
      </w:r>
    </w:p>
    <w:p>
      <w:pPr>
        <w:pStyle w:val="8"/>
        <w:numPr>
          <w:ilvl w:val="0"/>
          <w:numId w:val="64"/>
        </w:numPr>
        <w:tabs>
          <w:tab w:val="left" w:pos="1984"/>
        </w:tabs>
        <w:spacing w:before="1" w:after="0" w:line="364" w:lineRule="auto"/>
        <w:ind w:left="1800" w:right="1675" w:firstLine="0"/>
        <w:jc w:val="left"/>
        <w:rPr>
          <w:rFonts w:hint="eastAsia" w:ascii="宋体" w:eastAsia="宋体"/>
          <w:sz w:val="24"/>
        </w:rPr>
      </w:pPr>
      <w:r>
        <w:rPr>
          <w:rFonts w:hint="eastAsia" w:ascii="宋体" w:eastAsia="宋体"/>
          <w:spacing w:val="-8"/>
          <w:sz w:val="24"/>
        </w:rPr>
        <w:t>经认定的动漫企业为开发动漫产品提供的动漫脚本编撰、形象设计、背景设计、</w:t>
      </w:r>
      <w:r>
        <w:rPr>
          <w:rFonts w:hint="eastAsia" w:ascii="宋体" w:eastAsia="宋体"/>
          <w:spacing w:val="-10"/>
          <w:sz w:val="24"/>
        </w:rPr>
        <w:t>动画设计、分镜、动画制作、摄制、描线、上色、画面合成、配音、配乐、音效合成、剪辑、字幕制作、压缩转码</w:t>
      </w:r>
      <w:r>
        <w:rPr>
          <w:rFonts w:ascii="Calibri" w:eastAsia="Calibri"/>
          <w:spacing w:val="-10"/>
          <w:sz w:val="24"/>
        </w:rPr>
        <w:t>(</w:t>
      </w:r>
      <w:r>
        <w:rPr>
          <w:rFonts w:hint="eastAsia" w:ascii="宋体" w:eastAsia="宋体"/>
          <w:spacing w:val="-10"/>
          <w:sz w:val="24"/>
        </w:rPr>
        <w:t>面向网络动漫、手机动漫格式适配</w:t>
      </w:r>
      <w:r>
        <w:rPr>
          <w:rFonts w:ascii="Calibri" w:eastAsia="Calibri"/>
          <w:spacing w:val="-10"/>
          <w:sz w:val="24"/>
        </w:rPr>
        <w:t>)</w:t>
      </w:r>
      <w:r>
        <w:rPr>
          <w:rFonts w:hint="eastAsia" w:ascii="宋体" w:eastAsia="宋体"/>
          <w:spacing w:val="-10"/>
          <w:sz w:val="24"/>
        </w:rPr>
        <w:t>服务，以及在境内转让动漫版权</w:t>
      </w:r>
      <w:r>
        <w:rPr>
          <w:rFonts w:ascii="Calibri" w:eastAsia="Calibri"/>
          <w:spacing w:val="-10"/>
          <w:sz w:val="24"/>
        </w:rPr>
        <w:t>(</w:t>
      </w:r>
      <w:r>
        <w:rPr>
          <w:rFonts w:hint="eastAsia" w:ascii="宋体" w:eastAsia="宋体"/>
          <w:spacing w:val="-10"/>
          <w:sz w:val="24"/>
        </w:rPr>
        <w:t>包括动漫品牌、形象或者内容的授权及再授权</w:t>
      </w:r>
      <w:r>
        <w:rPr>
          <w:rFonts w:ascii="Calibri" w:eastAsia="Calibri"/>
          <w:spacing w:val="-10"/>
          <w:sz w:val="24"/>
        </w:rPr>
        <w:t>)</w:t>
      </w:r>
      <w:r>
        <w:rPr>
          <w:rFonts w:hint="eastAsia" w:ascii="宋体" w:eastAsia="宋体"/>
          <w:spacing w:val="-10"/>
          <w:sz w:val="24"/>
        </w:rPr>
        <w:t>。</w:t>
      </w:r>
    </w:p>
    <w:p>
      <w:pPr>
        <w:pStyle w:val="3"/>
        <w:spacing w:before="3" w:line="364" w:lineRule="auto"/>
        <w:ind w:right="1795"/>
        <w:jc w:val="both"/>
      </w:pPr>
      <w:r>
        <w:t>动漫企业和自主开发、生产动漫产品的认定标准和认定程序，按照《文化部 财</w:t>
      </w:r>
      <w:r>
        <w:rPr>
          <w:spacing w:val="-1"/>
        </w:rPr>
        <w:t>政部 国家税务总局关于印发</w:t>
      </w:r>
      <w:r>
        <w:fldChar w:fldCharType="begin"/>
      </w:r>
      <w:r>
        <w:instrText xml:space="preserve"> HYPERLINK "http://www.waizi.org.cn/law/9414.html" \h </w:instrText>
      </w:r>
      <w:r>
        <w:fldChar w:fldCharType="separate"/>
      </w:r>
      <w:r>
        <w:rPr>
          <w:spacing w:val="-1"/>
        </w:rPr>
        <w:t>〈动漫企业认定管理办法</w:t>
      </w:r>
      <w:r>
        <w:t>（试行</w:t>
      </w:r>
      <w:r>
        <w:rPr>
          <w:spacing w:val="-8"/>
        </w:rPr>
        <w:t>）</w:t>
      </w:r>
      <w:r>
        <w:rPr>
          <w:spacing w:val="-8"/>
        </w:rPr>
        <w:fldChar w:fldCharType="end"/>
      </w:r>
      <w:r>
        <w:rPr>
          <w:spacing w:val="-5"/>
        </w:rPr>
        <w:t>〉的通知》</w:t>
      </w:r>
      <w:r>
        <w:rPr>
          <w:rFonts w:ascii="Calibri" w:eastAsia="Calibri"/>
        </w:rPr>
        <w:t>(</w:t>
      </w:r>
      <w:r>
        <w:fldChar w:fldCharType="begin"/>
      </w:r>
      <w:r>
        <w:instrText xml:space="preserve"> HYPERLINK "http://www.waizi.org.cn/law/9414.html" \h </w:instrText>
      </w:r>
      <w:r>
        <w:fldChar w:fldCharType="separate"/>
      </w:r>
      <w:r>
        <w:rPr>
          <w:spacing w:val="-8"/>
        </w:rPr>
        <w:t>文市</w:t>
      </w:r>
      <w:r>
        <w:rPr>
          <w:spacing w:val="-8"/>
        </w:rPr>
        <w:fldChar w:fldCharType="end"/>
      </w:r>
      <w:r>
        <w:t>发〔</w:t>
      </w:r>
      <w:r>
        <w:rPr>
          <w:rFonts w:ascii="Calibri" w:eastAsia="Calibri"/>
        </w:rPr>
        <w:t>2008</w:t>
      </w:r>
      <w:r>
        <w:t>〕</w:t>
      </w:r>
      <w:r>
        <w:rPr>
          <w:rFonts w:ascii="Calibri" w:eastAsia="Calibri"/>
        </w:rPr>
        <w:t xml:space="preserve">51 </w:t>
      </w:r>
      <w:r>
        <w:t>号</w:t>
      </w:r>
      <w:r>
        <w:rPr>
          <w:rFonts w:ascii="Calibri" w:eastAsia="Calibri"/>
        </w:rPr>
        <w:t>)</w:t>
      </w:r>
      <w:r>
        <w:t>的规定执行。</w:t>
      </w:r>
    </w:p>
    <w:p>
      <w:pPr>
        <w:pStyle w:val="8"/>
        <w:numPr>
          <w:ilvl w:val="0"/>
          <w:numId w:val="64"/>
        </w:numPr>
        <w:tabs>
          <w:tab w:val="left" w:pos="1984"/>
        </w:tabs>
        <w:spacing w:before="1" w:after="0" w:line="240" w:lineRule="auto"/>
        <w:ind w:left="1983" w:right="0" w:hanging="184"/>
        <w:jc w:val="left"/>
        <w:rPr>
          <w:rFonts w:hint="eastAsia" w:ascii="宋体" w:eastAsia="宋体"/>
          <w:sz w:val="24"/>
        </w:rPr>
      </w:pPr>
      <w:r>
        <w:pict>
          <v:shape id="_x0000_s1079" o:spid="_x0000_s1079" o:spt="136" type="#_x0000_t136" style="position:absolute;left:0pt;margin-left:41.25pt;margin-top:16.25pt;height:132pt;width:528.05pt;mso-position-horizontal-relative:page;rotation:20643840f;z-index:-251601920;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宋体" w:eastAsia="宋体"/>
          <w:sz w:val="24"/>
        </w:rPr>
        <w:t>电影放映服务、仓储服务、装卸搬运服务、收派服务和文化体育服务。</w:t>
      </w:r>
    </w:p>
    <w:p>
      <w:pPr>
        <w:pStyle w:val="8"/>
        <w:numPr>
          <w:ilvl w:val="0"/>
          <w:numId w:val="64"/>
        </w:numPr>
        <w:tabs>
          <w:tab w:val="left" w:pos="1984"/>
        </w:tabs>
        <w:spacing w:before="161" w:after="0" w:line="240" w:lineRule="auto"/>
        <w:ind w:left="1983" w:right="0" w:hanging="184"/>
        <w:jc w:val="left"/>
        <w:rPr>
          <w:rFonts w:hint="eastAsia" w:ascii="宋体" w:eastAsia="宋体"/>
          <w:sz w:val="24"/>
        </w:rPr>
      </w:pPr>
      <w:r>
        <w:rPr>
          <w:rFonts w:hint="eastAsia" w:ascii="宋体" w:eastAsia="宋体"/>
          <w:sz w:val="24"/>
        </w:rPr>
        <w:t>以纳入营改增试点之日前取得的有形动产为标的物提供的经营租赁服务。</w:t>
      </w:r>
    </w:p>
    <w:p>
      <w:pPr>
        <w:pStyle w:val="8"/>
        <w:numPr>
          <w:ilvl w:val="0"/>
          <w:numId w:val="64"/>
        </w:numPr>
        <w:tabs>
          <w:tab w:val="left" w:pos="1984"/>
        </w:tabs>
        <w:spacing w:before="160" w:after="0" w:line="240" w:lineRule="auto"/>
        <w:ind w:left="1983" w:right="0" w:hanging="184"/>
        <w:jc w:val="left"/>
        <w:rPr>
          <w:rFonts w:hint="eastAsia" w:ascii="宋体" w:eastAsia="宋体"/>
          <w:sz w:val="24"/>
        </w:rPr>
      </w:pPr>
      <w:r>
        <w:rPr>
          <w:rFonts w:hint="eastAsia" w:ascii="宋体" w:eastAsia="宋体"/>
          <w:sz w:val="24"/>
        </w:rPr>
        <w:t>在纳入营改增试点之日前签订的尚未执行完毕的有形动产租赁合同。</w:t>
      </w:r>
    </w:p>
    <w:p>
      <w:pPr>
        <w:pStyle w:val="3"/>
        <w:spacing w:before="161"/>
      </w:pPr>
      <w:r>
        <w:t>（七）建筑服务。</w:t>
      </w:r>
    </w:p>
    <w:p>
      <w:pPr>
        <w:pStyle w:val="8"/>
        <w:numPr>
          <w:ilvl w:val="0"/>
          <w:numId w:val="65"/>
        </w:numPr>
        <w:tabs>
          <w:tab w:val="left" w:pos="1984"/>
        </w:tabs>
        <w:spacing w:before="160" w:after="0" w:line="364" w:lineRule="auto"/>
        <w:ind w:left="1800" w:right="1761" w:firstLine="0"/>
        <w:jc w:val="both"/>
        <w:rPr>
          <w:rFonts w:hint="eastAsia" w:ascii="宋体" w:eastAsia="宋体"/>
          <w:sz w:val="24"/>
        </w:rPr>
      </w:pPr>
      <w:r>
        <w:rPr>
          <w:rFonts w:hint="eastAsia" w:ascii="宋体" w:eastAsia="宋体"/>
          <w:spacing w:val="-1"/>
          <w:sz w:val="24"/>
        </w:rPr>
        <w:t>一般纳税人以清包工方式提供的建筑服务，可以选择适用简易计税方法计税。</w:t>
      </w:r>
      <w:r>
        <w:rPr>
          <w:rFonts w:hint="eastAsia" w:ascii="宋体" w:eastAsia="宋体"/>
          <w:spacing w:val="-8"/>
          <w:sz w:val="24"/>
        </w:rPr>
        <w:t>以清包工方式提供建筑服务，是指施工方不采购建筑工程所需的材料或只采购辅助材料，并收取人工费、管理费或者其他费用的建筑服务。</w:t>
      </w:r>
    </w:p>
    <w:p>
      <w:pPr>
        <w:pStyle w:val="8"/>
        <w:numPr>
          <w:ilvl w:val="0"/>
          <w:numId w:val="65"/>
        </w:numPr>
        <w:tabs>
          <w:tab w:val="left" w:pos="1984"/>
        </w:tabs>
        <w:spacing w:before="2" w:after="0" w:line="364" w:lineRule="auto"/>
        <w:ind w:left="1800" w:right="1677" w:firstLine="0"/>
        <w:jc w:val="left"/>
        <w:rPr>
          <w:rFonts w:hint="eastAsia" w:ascii="宋体" w:eastAsia="宋体"/>
          <w:sz w:val="24"/>
        </w:rPr>
      </w:pPr>
      <w:r>
        <w:rPr>
          <w:rFonts w:hint="eastAsia" w:ascii="宋体" w:eastAsia="宋体"/>
          <w:sz w:val="24"/>
        </w:rPr>
        <w:t xml:space="preserve">一般纳税人为甲供工程提供的建筑服务，可以选择适用简易计税方法计税。 </w:t>
      </w:r>
      <w:r>
        <w:rPr>
          <w:rFonts w:hint="eastAsia" w:ascii="宋体" w:eastAsia="宋体"/>
          <w:spacing w:val="-18"/>
          <w:sz w:val="24"/>
        </w:rPr>
        <w:t>甲供工程，是指全部或部分设备、材料、动力由工程发包方自行采购的建筑工程。</w:t>
      </w:r>
      <w:r>
        <w:rPr>
          <w:rFonts w:ascii="Calibri" w:eastAsia="Calibri"/>
          <w:sz w:val="24"/>
        </w:rPr>
        <w:t>3.</w:t>
      </w:r>
      <w:r>
        <w:rPr>
          <w:rFonts w:hint="eastAsia" w:ascii="宋体" w:eastAsia="宋体"/>
          <w:spacing w:val="-2"/>
          <w:sz w:val="24"/>
        </w:rPr>
        <w:t>一般纳税人为建筑工程老项目提供的建筑服务，可以选择适用简易计税方法计税。</w:t>
      </w:r>
    </w:p>
    <w:p>
      <w:pPr>
        <w:pStyle w:val="3"/>
        <w:spacing w:before="3"/>
      </w:pPr>
      <w:r>
        <w:t>建筑工程老项目，是指：</w:t>
      </w:r>
    </w:p>
    <w:p>
      <w:pPr>
        <w:pStyle w:val="8"/>
        <w:numPr>
          <w:ilvl w:val="0"/>
          <w:numId w:val="66"/>
        </w:numPr>
        <w:tabs>
          <w:tab w:val="left" w:pos="2404"/>
        </w:tabs>
        <w:spacing w:before="160" w:after="0" w:line="364" w:lineRule="auto"/>
        <w:ind w:left="1800" w:right="1792" w:firstLine="0"/>
        <w:jc w:val="left"/>
        <w:rPr>
          <w:rFonts w:hint="eastAsia" w:ascii="宋体" w:eastAsia="宋体"/>
          <w:sz w:val="24"/>
        </w:rPr>
      </w:pPr>
      <w:r>
        <w:rPr>
          <w:rFonts w:hint="eastAsia" w:ascii="宋体" w:eastAsia="宋体"/>
          <w:spacing w:val="-3"/>
          <w:sz w:val="24"/>
        </w:rPr>
        <w:t xml:space="preserve">《建筑工程施工许可证》注明的合同开工日期在 </w:t>
      </w:r>
      <w:r>
        <w:rPr>
          <w:rFonts w:ascii="Calibri" w:eastAsia="Calibri"/>
          <w:sz w:val="24"/>
        </w:rPr>
        <w:t>2016</w:t>
      </w:r>
      <w:r>
        <w:rPr>
          <w:rFonts w:ascii="Calibri" w:eastAsia="Calibri"/>
          <w:spacing w:val="6"/>
          <w:sz w:val="24"/>
        </w:rPr>
        <w:t xml:space="preserve"> </w:t>
      </w:r>
      <w:r>
        <w:rPr>
          <w:rFonts w:hint="eastAsia" w:ascii="宋体" w:eastAsia="宋体"/>
          <w:spacing w:val="-29"/>
          <w:sz w:val="24"/>
        </w:rPr>
        <w:t xml:space="preserve">年 </w:t>
      </w:r>
      <w:r>
        <w:rPr>
          <w:rFonts w:ascii="Calibri" w:eastAsia="Calibri"/>
          <w:sz w:val="24"/>
        </w:rPr>
        <w:t>4</w:t>
      </w:r>
      <w:r>
        <w:rPr>
          <w:rFonts w:ascii="Calibri" w:eastAsia="Calibri"/>
          <w:spacing w:val="8"/>
          <w:sz w:val="24"/>
        </w:rPr>
        <w:t xml:space="preserve"> </w:t>
      </w:r>
      <w:r>
        <w:rPr>
          <w:rFonts w:hint="eastAsia" w:ascii="宋体" w:eastAsia="宋体"/>
          <w:spacing w:val="-29"/>
          <w:sz w:val="24"/>
        </w:rPr>
        <w:t xml:space="preserve">月 </w:t>
      </w:r>
      <w:r>
        <w:rPr>
          <w:rFonts w:ascii="Calibri" w:eastAsia="Calibri"/>
          <w:sz w:val="24"/>
        </w:rPr>
        <w:t>30</w:t>
      </w:r>
      <w:r>
        <w:rPr>
          <w:rFonts w:ascii="Calibri" w:eastAsia="Calibri"/>
          <w:spacing w:val="8"/>
          <w:sz w:val="24"/>
        </w:rPr>
        <w:t xml:space="preserve"> </w:t>
      </w:r>
      <w:r>
        <w:rPr>
          <w:rFonts w:hint="eastAsia" w:ascii="宋体" w:eastAsia="宋体"/>
          <w:sz w:val="24"/>
        </w:rPr>
        <w:t>日前的建筑工程项目；</w:t>
      </w:r>
    </w:p>
    <w:p>
      <w:pPr>
        <w:pStyle w:val="8"/>
        <w:numPr>
          <w:ilvl w:val="0"/>
          <w:numId w:val="66"/>
        </w:numPr>
        <w:tabs>
          <w:tab w:val="left" w:pos="2401"/>
        </w:tabs>
        <w:spacing w:before="1" w:after="0" w:line="240" w:lineRule="auto"/>
        <w:ind w:left="2401" w:right="0" w:hanging="601"/>
        <w:jc w:val="left"/>
        <w:rPr>
          <w:rFonts w:hint="eastAsia" w:ascii="宋体" w:eastAsia="宋体"/>
          <w:sz w:val="24"/>
        </w:rPr>
      </w:pPr>
      <w:r>
        <w:rPr>
          <w:rFonts w:hint="eastAsia" w:ascii="宋体" w:eastAsia="宋体"/>
          <w:sz w:val="24"/>
        </w:rPr>
        <w:t>未取得《建筑工程施工许可证》的，建筑工程承包合同注明的开工日期在</w:t>
      </w:r>
    </w:p>
    <w:p>
      <w:pPr>
        <w:pStyle w:val="3"/>
        <w:spacing w:before="161"/>
      </w:pPr>
      <w:r>
        <w:rPr>
          <w:rFonts w:ascii="Calibri" w:eastAsia="Calibri"/>
        </w:rPr>
        <w:t xml:space="preserve">2016 </w:t>
      </w:r>
      <w:r>
        <w:t xml:space="preserve">年 </w:t>
      </w:r>
      <w:r>
        <w:rPr>
          <w:rFonts w:ascii="Calibri" w:eastAsia="Calibri"/>
        </w:rPr>
        <w:t xml:space="preserve">4 </w:t>
      </w:r>
      <w:r>
        <w:t xml:space="preserve">月 </w:t>
      </w:r>
      <w:r>
        <w:rPr>
          <w:rFonts w:ascii="Calibri" w:eastAsia="Calibri"/>
        </w:rPr>
        <w:t xml:space="preserve">30 </w:t>
      </w:r>
      <w:r>
        <w:t>日前的建筑工程项目。</w:t>
      </w:r>
    </w:p>
    <w:p>
      <w:pPr>
        <w:pStyle w:val="8"/>
        <w:numPr>
          <w:ilvl w:val="0"/>
          <w:numId w:val="67"/>
        </w:numPr>
        <w:tabs>
          <w:tab w:val="left" w:pos="1984"/>
        </w:tabs>
        <w:spacing w:before="160" w:after="0" w:line="364" w:lineRule="auto"/>
        <w:ind w:left="1800" w:right="1795" w:firstLine="0"/>
        <w:jc w:val="left"/>
        <w:rPr>
          <w:rFonts w:hint="eastAsia" w:ascii="宋体" w:eastAsia="宋体"/>
          <w:sz w:val="24"/>
        </w:rPr>
      </w:pPr>
      <w:r>
        <w:rPr>
          <w:rFonts w:hint="eastAsia" w:ascii="宋体" w:eastAsia="宋体"/>
          <w:spacing w:val="-2"/>
          <w:sz w:val="24"/>
        </w:rPr>
        <w:t>一般纳税人跨县</w:t>
      </w:r>
      <w:r>
        <w:rPr>
          <w:rFonts w:hint="eastAsia" w:ascii="宋体" w:eastAsia="宋体"/>
          <w:sz w:val="24"/>
        </w:rPr>
        <w:t>（市</w:t>
      </w:r>
      <w:r>
        <w:rPr>
          <w:rFonts w:hint="eastAsia" w:ascii="宋体" w:eastAsia="宋体"/>
          <w:spacing w:val="-8"/>
          <w:sz w:val="24"/>
        </w:rPr>
        <w:t>）</w:t>
      </w:r>
      <w:r>
        <w:rPr>
          <w:rFonts w:hint="eastAsia" w:ascii="宋体" w:eastAsia="宋体"/>
          <w:spacing w:val="-4"/>
          <w:sz w:val="24"/>
        </w:rPr>
        <w:t>提供建筑服务，适用一般计税方法计税的，应以取得的</w:t>
      </w:r>
      <w:r>
        <w:rPr>
          <w:rFonts w:hint="eastAsia" w:ascii="宋体" w:eastAsia="宋体"/>
          <w:spacing w:val="-6"/>
          <w:sz w:val="24"/>
        </w:rPr>
        <w:t>全部价款和价外费用为销售额计算应纳税额。纳税人应以取得的全部价款和价外</w:t>
      </w:r>
    </w:p>
    <w:p>
      <w:pPr>
        <w:spacing w:after="0" w:line="364" w:lineRule="auto"/>
        <w:jc w:val="left"/>
        <w:rPr>
          <w:rFonts w:hint="eastAsia" w:ascii="宋体" w:eastAsia="宋体"/>
          <w:sz w:val="24"/>
        </w:rPr>
        <w:sectPr>
          <w:pgSz w:w="11910" w:h="16840"/>
          <w:pgMar w:top="1540" w:right="0" w:bottom="1380" w:left="0" w:header="965" w:footer="1182" w:gutter="0"/>
          <w:cols w:space="720" w:num="1"/>
        </w:sectPr>
      </w:pPr>
    </w:p>
    <w:p>
      <w:pPr>
        <w:pStyle w:val="3"/>
        <w:spacing w:before="2"/>
        <w:ind w:left="0"/>
        <w:rPr>
          <w:sz w:val="12"/>
        </w:rPr>
      </w:pPr>
    </w:p>
    <w:p>
      <w:pPr>
        <w:pStyle w:val="3"/>
        <w:spacing w:before="67" w:line="364" w:lineRule="auto"/>
        <w:ind w:right="1797"/>
        <w:jc w:val="both"/>
      </w:pPr>
      <w:r>
        <w:rPr>
          <w:spacing w:val="-7"/>
        </w:rPr>
        <w:t xml:space="preserve">费用扣除支付的分包款后的余额，按照 </w:t>
      </w:r>
      <w:r>
        <w:rPr>
          <w:rFonts w:ascii="Calibri" w:eastAsia="Calibri"/>
        </w:rPr>
        <w:t>2</w:t>
      </w:r>
      <w:r>
        <w:rPr>
          <w:spacing w:val="-1"/>
        </w:rPr>
        <w:t>％的预征率在建筑服务发生地预缴税款</w:t>
      </w:r>
      <w:r>
        <w:t>后，向机构所在地主管税务机关进行纳税申报。</w:t>
      </w:r>
    </w:p>
    <w:p>
      <w:pPr>
        <w:pStyle w:val="8"/>
        <w:numPr>
          <w:ilvl w:val="0"/>
          <w:numId w:val="67"/>
        </w:numPr>
        <w:tabs>
          <w:tab w:val="left" w:pos="1984"/>
        </w:tabs>
        <w:spacing w:before="1" w:after="0" w:line="364" w:lineRule="auto"/>
        <w:ind w:left="1800" w:right="1795" w:firstLine="0"/>
        <w:jc w:val="both"/>
        <w:rPr>
          <w:rFonts w:hint="eastAsia" w:ascii="宋体" w:eastAsia="宋体"/>
          <w:sz w:val="24"/>
        </w:rPr>
      </w:pPr>
      <w:r>
        <w:rPr>
          <w:rFonts w:hint="eastAsia" w:ascii="宋体" w:eastAsia="宋体"/>
          <w:spacing w:val="-2"/>
          <w:sz w:val="24"/>
        </w:rPr>
        <w:t>一般纳税人跨县</w:t>
      </w:r>
      <w:r>
        <w:rPr>
          <w:rFonts w:hint="eastAsia" w:ascii="宋体" w:eastAsia="宋体"/>
          <w:sz w:val="24"/>
        </w:rPr>
        <w:t>（市</w:t>
      </w:r>
      <w:r>
        <w:rPr>
          <w:rFonts w:hint="eastAsia" w:ascii="宋体" w:eastAsia="宋体"/>
          <w:spacing w:val="-8"/>
          <w:sz w:val="24"/>
        </w:rPr>
        <w:t>）</w:t>
      </w:r>
      <w:r>
        <w:rPr>
          <w:rFonts w:hint="eastAsia" w:ascii="宋体" w:eastAsia="宋体"/>
          <w:spacing w:val="-4"/>
          <w:sz w:val="24"/>
        </w:rPr>
        <w:t>提供建筑服务，选择适用简易计税方法计税的，应以取</w:t>
      </w:r>
      <w:r>
        <w:rPr>
          <w:rFonts w:hint="eastAsia" w:ascii="宋体" w:eastAsia="宋体"/>
          <w:spacing w:val="-2"/>
          <w:sz w:val="24"/>
        </w:rPr>
        <w:t xml:space="preserve">得的全部价款和价外费用扣除支付的分包款后的余额为销售额，按照 </w:t>
      </w:r>
      <w:r>
        <w:rPr>
          <w:rFonts w:ascii="Calibri" w:eastAsia="Calibri"/>
          <w:sz w:val="24"/>
        </w:rPr>
        <w:t>3%</w:t>
      </w:r>
      <w:r>
        <w:rPr>
          <w:rFonts w:hint="eastAsia" w:ascii="宋体" w:eastAsia="宋体"/>
          <w:sz w:val="24"/>
        </w:rPr>
        <w:t>的征收</w:t>
      </w:r>
      <w:r>
        <w:rPr>
          <w:rFonts w:hint="eastAsia" w:ascii="宋体" w:eastAsia="宋体"/>
          <w:spacing w:val="-9"/>
          <w:sz w:val="24"/>
        </w:rPr>
        <w:t>率计算应纳税额。纳税人应按照上述计税方法在建筑服务发生地预缴税款后，向</w:t>
      </w:r>
      <w:r>
        <w:rPr>
          <w:rFonts w:hint="eastAsia" w:ascii="宋体" w:eastAsia="宋体"/>
          <w:sz w:val="24"/>
        </w:rPr>
        <w:t>机构所在地主管税务机关进行纳税申报。</w:t>
      </w:r>
    </w:p>
    <w:p>
      <w:pPr>
        <w:pStyle w:val="8"/>
        <w:numPr>
          <w:ilvl w:val="0"/>
          <w:numId w:val="67"/>
        </w:numPr>
        <w:tabs>
          <w:tab w:val="left" w:pos="1984"/>
        </w:tabs>
        <w:spacing w:before="2" w:after="0" w:line="364" w:lineRule="auto"/>
        <w:ind w:left="1800" w:right="1795" w:firstLine="0"/>
        <w:jc w:val="both"/>
        <w:rPr>
          <w:rFonts w:hint="eastAsia" w:ascii="宋体" w:eastAsia="宋体"/>
          <w:sz w:val="24"/>
        </w:rPr>
      </w:pPr>
      <w:r>
        <w:rPr>
          <w:rFonts w:hint="eastAsia" w:ascii="宋体" w:eastAsia="宋体"/>
          <w:spacing w:val="-1"/>
          <w:sz w:val="24"/>
        </w:rPr>
        <w:t>试点纳税人中的小规模纳税人</w:t>
      </w:r>
      <w:r>
        <w:rPr>
          <w:rFonts w:hint="eastAsia" w:ascii="宋体" w:eastAsia="宋体"/>
          <w:sz w:val="24"/>
        </w:rPr>
        <w:t>（以下称小规模纳税人</w:t>
      </w:r>
      <w:r>
        <w:rPr>
          <w:rFonts w:hint="eastAsia" w:ascii="宋体" w:eastAsia="宋体"/>
          <w:spacing w:val="-8"/>
          <w:sz w:val="24"/>
        </w:rPr>
        <w:t>）</w:t>
      </w:r>
      <w:r>
        <w:rPr>
          <w:rFonts w:hint="eastAsia" w:ascii="宋体" w:eastAsia="宋体"/>
          <w:spacing w:val="-5"/>
          <w:sz w:val="24"/>
        </w:rPr>
        <w:t>跨县</w:t>
      </w:r>
      <w:r>
        <w:rPr>
          <w:rFonts w:hint="eastAsia" w:ascii="宋体" w:eastAsia="宋体"/>
          <w:sz w:val="24"/>
        </w:rPr>
        <w:t>（市</w:t>
      </w:r>
      <w:r>
        <w:rPr>
          <w:rFonts w:hint="eastAsia" w:ascii="宋体" w:eastAsia="宋体"/>
          <w:spacing w:val="-10"/>
          <w:sz w:val="24"/>
        </w:rPr>
        <w:t>）</w:t>
      </w:r>
      <w:r>
        <w:rPr>
          <w:rFonts w:hint="eastAsia" w:ascii="宋体" w:eastAsia="宋体"/>
          <w:spacing w:val="-3"/>
          <w:sz w:val="24"/>
        </w:rPr>
        <w:t>提供建筑服</w:t>
      </w:r>
      <w:r>
        <w:rPr>
          <w:rFonts w:hint="eastAsia" w:ascii="宋体" w:eastAsia="宋体"/>
          <w:spacing w:val="-10"/>
          <w:sz w:val="24"/>
        </w:rPr>
        <w:t>务，应以取得的全部价款和价外费用扣除支付的分包款后的余额为销售额，按照</w:t>
      </w:r>
      <w:r>
        <w:rPr>
          <w:rFonts w:ascii="Calibri" w:eastAsia="Calibri"/>
          <w:sz w:val="24"/>
        </w:rPr>
        <w:t>3%</w:t>
      </w:r>
      <w:r>
        <w:rPr>
          <w:rFonts w:hint="eastAsia" w:ascii="宋体" w:eastAsia="宋体"/>
          <w:sz w:val="24"/>
        </w:rPr>
        <w:t>的征收率计算应纳税额。纳税人应按照上述计税方法在建筑服务发生地预缴税款后，向机构所在地主管税务机关进行纳税申报。</w:t>
      </w:r>
    </w:p>
    <w:p>
      <w:pPr>
        <w:pStyle w:val="3"/>
        <w:spacing w:before="3"/>
      </w:pPr>
      <w:r>
        <w:t>（八）销售不动产。</w:t>
      </w:r>
    </w:p>
    <w:p>
      <w:pPr>
        <w:pStyle w:val="8"/>
        <w:numPr>
          <w:ilvl w:val="0"/>
          <w:numId w:val="68"/>
        </w:numPr>
        <w:tabs>
          <w:tab w:val="left" w:pos="1984"/>
        </w:tabs>
        <w:spacing w:before="160" w:after="0" w:line="364" w:lineRule="auto"/>
        <w:ind w:left="1800" w:right="1792" w:firstLine="0"/>
        <w:jc w:val="both"/>
        <w:rPr>
          <w:rFonts w:hint="eastAsia" w:ascii="宋体" w:eastAsia="宋体"/>
          <w:sz w:val="24"/>
        </w:rPr>
      </w:pPr>
      <w:r>
        <w:pict>
          <v:shape id="_x0000_s1080" o:spid="_x0000_s1080" o:spt="136" type="#_x0000_t136" style="position:absolute;left:0pt;margin-left:41.25pt;margin-top:24.2pt;height:132pt;width:528.05pt;mso-position-horizontal-relative:page;rotation:20643840f;z-index:-251600896;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宋体" w:eastAsia="宋体"/>
          <w:spacing w:val="-7"/>
          <w:sz w:val="24"/>
        </w:rPr>
        <w:t xml:space="preserve">一般纳税人销售其 </w:t>
      </w:r>
      <w:r>
        <w:rPr>
          <w:rFonts w:ascii="Calibri" w:eastAsia="Calibri"/>
          <w:sz w:val="24"/>
        </w:rPr>
        <w:t>2016</w:t>
      </w:r>
      <w:r>
        <w:rPr>
          <w:rFonts w:ascii="Calibri" w:eastAsia="Calibri"/>
          <w:spacing w:val="5"/>
          <w:sz w:val="24"/>
        </w:rPr>
        <w:t xml:space="preserve"> </w:t>
      </w:r>
      <w:r>
        <w:rPr>
          <w:rFonts w:hint="eastAsia" w:ascii="宋体" w:eastAsia="宋体"/>
          <w:spacing w:val="-30"/>
          <w:sz w:val="24"/>
        </w:rPr>
        <w:t xml:space="preserve">年 </w:t>
      </w:r>
      <w:r>
        <w:rPr>
          <w:rFonts w:ascii="Calibri" w:eastAsia="Calibri"/>
          <w:sz w:val="24"/>
        </w:rPr>
        <w:t>4</w:t>
      </w:r>
      <w:r>
        <w:rPr>
          <w:rFonts w:ascii="Calibri" w:eastAsia="Calibri"/>
          <w:spacing w:val="7"/>
          <w:sz w:val="24"/>
        </w:rPr>
        <w:t xml:space="preserve"> </w:t>
      </w:r>
      <w:r>
        <w:rPr>
          <w:rFonts w:hint="eastAsia" w:ascii="宋体" w:eastAsia="宋体"/>
          <w:spacing w:val="-30"/>
          <w:sz w:val="24"/>
        </w:rPr>
        <w:t xml:space="preserve">月 </w:t>
      </w:r>
      <w:r>
        <w:rPr>
          <w:rFonts w:ascii="Calibri" w:eastAsia="Calibri"/>
          <w:sz w:val="24"/>
        </w:rPr>
        <w:t>30</w:t>
      </w:r>
      <w:r>
        <w:rPr>
          <w:rFonts w:ascii="Calibri" w:eastAsia="Calibri"/>
          <w:spacing w:val="7"/>
          <w:sz w:val="24"/>
        </w:rPr>
        <w:t xml:space="preserve"> </w:t>
      </w:r>
      <w:r>
        <w:rPr>
          <w:rFonts w:hint="eastAsia" w:ascii="宋体" w:eastAsia="宋体"/>
          <w:spacing w:val="-4"/>
          <w:sz w:val="24"/>
        </w:rPr>
        <w:t>日前取得</w:t>
      </w:r>
      <w:r>
        <w:rPr>
          <w:rFonts w:hint="eastAsia" w:ascii="宋体" w:eastAsia="宋体"/>
          <w:spacing w:val="-3"/>
          <w:sz w:val="24"/>
        </w:rPr>
        <w:t>（</w:t>
      </w:r>
      <w:r>
        <w:rPr>
          <w:rFonts w:hint="eastAsia" w:ascii="宋体" w:eastAsia="宋体"/>
          <w:sz w:val="24"/>
        </w:rPr>
        <w:t>不含自建</w:t>
      </w:r>
      <w:r>
        <w:rPr>
          <w:rFonts w:hint="eastAsia" w:ascii="宋体" w:eastAsia="宋体"/>
          <w:spacing w:val="-17"/>
          <w:sz w:val="24"/>
        </w:rPr>
        <w:t>）</w:t>
      </w:r>
      <w:r>
        <w:rPr>
          <w:rFonts w:hint="eastAsia" w:ascii="宋体" w:eastAsia="宋体"/>
          <w:spacing w:val="-4"/>
          <w:sz w:val="24"/>
        </w:rPr>
        <w:t>的不动产，可以选择</w:t>
      </w:r>
      <w:r>
        <w:rPr>
          <w:rFonts w:hint="eastAsia" w:ascii="宋体" w:eastAsia="宋体"/>
          <w:spacing w:val="-12"/>
          <w:sz w:val="24"/>
        </w:rPr>
        <w:t>适用简易计税方法，以取得的全部价款和价外费用减去该项不动产购置原价或者</w:t>
      </w:r>
      <w:r>
        <w:rPr>
          <w:rFonts w:hint="eastAsia" w:ascii="宋体" w:eastAsia="宋体"/>
          <w:spacing w:val="-2"/>
          <w:sz w:val="24"/>
        </w:rPr>
        <w:t xml:space="preserve">取得不动产时的作价后的余额为销售额，按照 </w:t>
      </w:r>
      <w:r>
        <w:rPr>
          <w:rFonts w:ascii="Calibri" w:eastAsia="Calibri"/>
          <w:sz w:val="24"/>
        </w:rPr>
        <w:t>5%</w:t>
      </w:r>
      <w:r>
        <w:rPr>
          <w:rFonts w:hint="eastAsia" w:ascii="宋体" w:eastAsia="宋体"/>
          <w:sz w:val="24"/>
        </w:rPr>
        <w:t>的征收率计算应纳税额。纳税</w:t>
      </w:r>
      <w:r>
        <w:rPr>
          <w:rFonts w:hint="eastAsia" w:ascii="宋体" w:eastAsia="宋体"/>
          <w:spacing w:val="-6"/>
          <w:sz w:val="24"/>
        </w:rPr>
        <w:t>人应按照上述计税方法在不动产所在地预缴税款后，向机构所在地主管税务机关</w:t>
      </w:r>
      <w:r>
        <w:rPr>
          <w:rFonts w:hint="eastAsia" w:ascii="宋体" w:eastAsia="宋体"/>
          <w:sz w:val="24"/>
        </w:rPr>
        <w:t>进行纳税申报。</w:t>
      </w:r>
    </w:p>
    <w:p>
      <w:pPr>
        <w:pStyle w:val="8"/>
        <w:numPr>
          <w:ilvl w:val="0"/>
          <w:numId w:val="68"/>
        </w:numPr>
        <w:tabs>
          <w:tab w:val="left" w:pos="1984"/>
        </w:tabs>
        <w:spacing w:before="3" w:after="0" w:line="364" w:lineRule="auto"/>
        <w:ind w:left="1800" w:right="1677" w:firstLine="0"/>
        <w:jc w:val="left"/>
        <w:rPr>
          <w:rFonts w:hint="eastAsia" w:ascii="宋体" w:eastAsia="宋体"/>
          <w:sz w:val="24"/>
        </w:rPr>
      </w:pPr>
      <w:r>
        <w:rPr>
          <w:rFonts w:hint="eastAsia" w:ascii="宋体" w:eastAsia="宋体"/>
          <w:spacing w:val="-7"/>
          <w:sz w:val="24"/>
        </w:rPr>
        <w:t xml:space="preserve">一般纳税人销售其 </w:t>
      </w:r>
      <w:r>
        <w:rPr>
          <w:rFonts w:ascii="Calibri" w:eastAsia="Calibri"/>
          <w:sz w:val="24"/>
        </w:rPr>
        <w:t>2016</w:t>
      </w:r>
      <w:r>
        <w:rPr>
          <w:rFonts w:ascii="Calibri" w:eastAsia="Calibri"/>
          <w:spacing w:val="5"/>
          <w:sz w:val="24"/>
        </w:rPr>
        <w:t xml:space="preserve"> </w:t>
      </w:r>
      <w:r>
        <w:rPr>
          <w:rFonts w:hint="eastAsia" w:ascii="宋体" w:eastAsia="宋体"/>
          <w:spacing w:val="-30"/>
          <w:sz w:val="24"/>
        </w:rPr>
        <w:t xml:space="preserve">年 </w:t>
      </w:r>
      <w:r>
        <w:rPr>
          <w:rFonts w:ascii="Calibri" w:eastAsia="Calibri"/>
          <w:sz w:val="24"/>
        </w:rPr>
        <w:t>4</w:t>
      </w:r>
      <w:r>
        <w:rPr>
          <w:rFonts w:ascii="Calibri" w:eastAsia="Calibri"/>
          <w:spacing w:val="6"/>
          <w:sz w:val="24"/>
        </w:rPr>
        <w:t xml:space="preserve"> </w:t>
      </w:r>
      <w:r>
        <w:rPr>
          <w:rFonts w:hint="eastAsia" w:ascii="宋体" w:eastAsia="宋体"/>
          <w:spacing w:val="-30"/>
          <w:sz w:val="24"/>
        </w:rPr>
        <w:t xml:space="preserve">月 </w:t>
      </w:r>
      <w:r>
        <w:rPr>
          <w:rFonts w:ascii="Calibri" w:eastAsia="Calibri"/>
          <w:sz w:val="24"/>
        </w:rPr>
        <w:t>30</w:t>
      </w:r>
      <w:r>
        <w:rPr>
          <w:rFonts w:ascii="Calibri" w:eastAsia="Calibri"/>
          <w:spacing w:val="7"/>
          <w:sz w:val="24"/>
        </w:rPr>
        <w:t xml:space="preserve"> </w:t>
      </w:r>
      <w:r>
        <w:rPr>
          <w:rFonts w:hint="eastAsia" w:ascii="宋体" w:eastAsia="宋体"/>
          <w:spacing w:val="-7"/>
          <w:sz w:val="24"/>
        </w:rPr>
        <w:t>日前自建的不动产，可以选择适用简易计税</w:t>
      </w:r>
      <w:r>
        <w:rPr>
          <w:rFonts w:hint="eastAsia" w:ascii="宋体" w:eastAsia="宋体"/>
          <w:spacing w:val="-13"/>
          <w:sz w:val="24"/>
        </w:rPr>
        <w:t xml:space="preserve">方法，以取得的全部价款和价外费用为销售额，按照 </w:t>
      </w:r>
      <w:r>
        <w:rPr>
          <w:rFonts w:ascii="Calibri" w:eastAsia="Calibri"/>
          <w:sz w:val="24"/>
        </w:rPr>
        <w:t>5%</w:t>
      </w:r>
      <w:r>
        <w:rPr>
          <w:rFonts w:hint="eastAsia" w:ascii="宋体" w:eastAsia="宋体"/>
          <w:spacing w:val="-2"/>
          <w:sz w:val="24"/>
        </w:rPr>
        <w:t>的征收率计算应纳税额。</w:t>
      </w:r>
      <w:r>
        <w:rPr>
          <w:rFonts w:hint="eastAsia" w:ascii="宋体" w:eastAsia="宋体"/>
          <w:spacing w:val="-4"/>
          <w:sz w:val="24"/>
        </w:rPr>
        <w:t>纳税人应按照上述计税方法在不动产所在地预缴税款后，向机构所在地主管税务机关进行纳税申报。</w:t>
      </w:r>
    </w:p>
    <w:p>
      <w:pPr>
        <w:pStyle w:val="8"/>
        <w:numPr>
          <w:ilvl w:val="0"/>
          <w:numId w:val="68"/>
        </w:numPr>
        <w:tabs>
          <w:tab w:val="left" w:pos="1985"/>
        </w:tabs>
        <w:spacing w:before="3" w:after="0" w:line="364" w:lineRule="auto"/>
        <w:ind w:left="1800" w:right="1792" w:firstLine="0"/>
        <w:jc w:val="both"/>
        <w:rPr>
          <w:rFonts w:hint="eastAsia" w:ascii="宋体" w:eastAsia="宋体"/>
          <w:sz w:val="24"/>
        </w:rPr>
      </w:pPr>
      <w:r>
        <w:rPr>
          <w:rFonts w:hint="eastAsia" w:ascii="宋体" w:eastAsia="宋体"/>
          <w:spacing w:val="-6"/>
          <w:sz w:val="24"/>
        </w:rPr>
        <w:t xml:space="preserve">一般纳税人销售其 </w:t>
      </w:r>
      <w:r>
        <w:rPr>
          <w:rFonts w:ascii="Calibri" w:eastAsia="Calibri"/>
          <w:sz w:val="24"/>
        </w:rPr>
        <w:t>2016</w:t>
      </w:r>
      <w:r>
        <w:rPr>
          <w:rFonts w:ascii="Calibri" w:eastAsia="Calibri"/>
          <w:spacing w:val="13"/>
          <w:sz w:val="24"/>
        </w:rPr>
        <w:t xml:space="preserve"> </w:t>
      </w:r>
      <w:r>
        <w:rPr>
          <w:rFonts w:hint="eastAsia" w:ascii="宋体" w:eastAsia="宋体"/>
          <w:spacing w:val="-25"/>
          <w:sz w:val="24"/>
        </w:rPr>
        <w:t xml:space="preserve">年 </w:t>
      </w:r>
      <w:r>
        <w:rPr>
          <w:rFonts w:ascii="Calibri" w:eastAsia="Calibri"/>
          <w:sz w:val="24"/>
        </w:rPr>
        <w:t>5</w:t>
      </w:r>
      <w:r>
        <w:rPr>
          <w:rFonts w:ascii="Calibri" w:eastAsia="Calibri"/>
          <w:spacing w:val="16"/>
          <w:sz w:val="24"/>
        </w:rPr>
        <w:t xml:space="preserve"> </w:t>
      </w:r>
      <w:r>
        <w:rPr>
          <w:rFonts w:hint="eastAsia" w:ascii="宋体" w:eastAsia="宋体"/>
          <w:spacing w:val="-27"/>
          <w:sz w:val="24"/>
        </w:rPr>
        <w:t xml:space="preserve">月 </w:t>
      </w:r>
      <w:r>
        <w:rPr>
          <w:rFonts w:ascii="Calibri" w:eastAsia="Calibri"/>
          <w:sz w:val="24"/>
        </w:rPr>
        <w:t>1</w:t>
      </w:r>
      <w:r>
        <w:rPr>
          <w:rFonts w:ascii="Calibri" w:eastAsia="Calibri"/>
          <w:spacing w:val="16"/>
          <w:sz w:val="24"/>
        </w:rPr>
        <w:t xml:space="preserve"> </w:t>
      </w:r>
      <w:r>
        <w:rPr>
          <w:rFonts w:hint="eastAsia" w:ascii="宋体" w:eastAsia="宋体"/>
          <w:sz w:val="24"/>
        </w:rPr>
        <w:t>日后取得（不含自建）的不动产，应适用一</w:t>
      </w:r>
      <w:r>
        <w:rPr>
          <w:rFonts w:hint="eastAsia" w:ascii="宋体" w:eastAsia="宋体"/>
          <w:spacing w:val="-10"/>
          <w:sz w:val="24"/>
        </w:rPr>
        <w:t>般计税方法，以取得的全部价款和价外费用为销售额计算应纳税额。纳税人应以</w:t>
      </w:r>
      <w:r>
        <w:rPr>
          <w:rFonts w:hint="eastAsia" w:ascii="宋体" w:eastAsia="宋体"/>
          <w:sz w:val="24"/>
        </w:rPr>
        <w:t>取得的全部价款和价外费用减去该项不动产购置原价或者取得不动产时的作价</w:t>
      </w:r>
      <w:r>
        <w:rPr>
          <w:rFonts w:hint="eastAsia" w:ascii="宋体" w:eastAsia="宋体"/>
          <w:spacing w:val="-6"/>
          <w:sz w:val="24"/>
        </w:rPr>
        <w:t xml:space="preserve">后的余额，按照 </w:t>
      </w:r>
      <w:r>
        <w:rPr>
          <w:rFonts w:ascii="Calibri" w:eastAsia="Calibri"/>
          <w:sz w:val="24"/>
        </w:rPr>
        <w:t>5%</w:t>
      </w:r>
      <w:r>
        <w:rPr>
          <w:rFonts w:hint="eastAsia" w:ascii="宋体" w:eastAsia="宋体"/>
          <w:sz w:val="24"/>
        </w:rPr>
        <w:t>的预征率在不动产所在地预缴税款后，向机构所在地主管税务机关进行纳税申报。</w:t>
      </w:r>
    </w:p>
    <w:p>
      <w:pPr>
        <w:pStyle w:val="8"/>
        <w:numPr>
          <w:ilvl w:val="0"/>
          <w:numId w:val="68"/>
        </w:numPr>
        <w:tabs>
          <w:tab w:val="left" w:pos="1985"/>
        </w:tabs>
        <w:spacing w:before="3" w:after="0" w:line="364" w:lineRule="auto"/>
        <w:ind w:left="1800" w:right="1792" w:firstLine="0"/>
        <w:jc w:val="both"/>
        <w:rPr>
          <w:rFonts w:hint="eastAsia" w:ascii="宋体" w:eastAsia="宋体"/>
          <w:sz w:val="24"/>
        </w:rPr>
      </w:pPr>
      <w:r>
        <w:rPr>
          <w:rFonts w:hint="eastAsia" w:ascii="宋体" w:eastAsia="宋体"/>
          <w:spacing w:val="-6"/>
          <w:sz w:val="24"/>
        </w:rPr>
        <w:t xml:space="preserve">一般纳税人销售其 </w:t>
      </w:r>
      <w:r>
        <w:rPr>
          <w:rFonts w:ascii="Calibri" w:eastAsia="Calibri"/>
          <w:sz w:val="24"/>
        </w:rPr>
        <w:t>2016</w:t>
      </w:r>
      <w:r>
        <w:rPr>
          <w:rFonts w:ascii="Calibri" w:eastAsia="Calibri"/>
          <w:spacing w:val="13"/>
          <w:sz w:val="24"/>
        </w:rPr>
        <w:t xml:space="preserve"> </w:t>
      </w:r>
      <w:r>
        <w:rPr>
          <w:rFonts w:hint="eastAsia" w:ascii="宋体" w:eastAsia="宋体"/>
          <w:spacing w:val="-25"/>
          <w:sz w:val="24"/>
        </w:rPr>
        <w:t xml:space="preserve">年 </w:t>
      </w:r>
      <w:r>
        <w:rPr>
          <w:rFonts w:ascii="Calibri" w:eastAsia="Calibri"/>
          <w:sz w:val="24"/>
        </w:rPr>
        <w:t>5</w:t>
      </w:r>
      <w:r>
        <w:rPr>
          <w:rFonts w:ascii="Calibri" w:eastAsia="Calibri"/>
          <w:spacing w:val="16"/>
          <w:sz w:val="24"/>
        </w:rPr>
        <w:t xml:space="preserve"> </w:t>
      </w:r>
      <w:r>
        <w:rPr>
          <w:rFonts w:hint="eastAsia" w:ascii="宋体" w:eastAsia="宋体"/>
          <w:spacing w:val="-27"/>
          <w:sz w:val="24"/>
        </w:rPr>
        <w:t xml:space="preserve">月 </w:t>
      </w:r>
      <w:r>
        <w:rPr>
          <w:rFonts w:ascii="Calibri" w:eastAsia="Calibri"/>
          <w:sz w:val="24"/>
        </w:rPr>
        <w:t>1</w:t>
      </w:r>
      <w:r>
        <w:rPr>
          <w:rFonts w:ascii="Calibri" w:eastAsia="Calibri"/>
          <w:spacing w:val="16"/>
          <w:sz w:val="24"/>
        </w:rPr>
        <w:t xml:space="preserve"> </w:t>
      </w:r>
      <w:r>
        <w:rPr>
          <w:rFonts w:hint="eastAsia" w:ascii="宋体" w:eastAsia="宋体"/>
          <w:sz w:val="24"/>
        </w:rPr>
        <w:t xml:space="preserve">日后自建的不动产，应适用一般计税方法， </w:t>
      </w:r>
      <w:r>
        <w:rPr>
          <w:rFonts w:hint="eastAsia" w:ascii="宋体" w:eastAsia="宋体"/>
          <w:spacing w:val="-5"/>
          <w:sz w:val="24"/>
        </w:rPr>
        <w:t>以取得的全部价款和价外费用为销售额计算应纳税额。纳税人应以取得的全部价</w:t>
      </w:r>
      <w:r>
        <w:rPr>
          <w:rFonts w:hint="eastAsia" w:ascii="宋体" w:eastAsia="宋体"/>
          <w:spacing w:val="-4"/>
          <w:sz w:val="24"/>
        </w:rPr>
        <w:t xml:space="preserve">款和价外费用，按照 </w:t>
      </w:r>
      <w:r>
        <w:rPr>
          <w:rFonts w:ascii="Calibri" w:eastAsia="Calibri"/>
          <w:sz w:val="24"/>
        </w:rPr>
        <w:t>5%</w:t>
      </w:r>
      <w:r>
        <w:rPr>
          <w:rFonts w:hint="eastAsia" w:ascii="宋体" w:eastAsia="宋体"/>
          <w:sz w:val="24"/>
        </w:rPr>
        <w:t>的预征率在不动产所在地预缴税款后，向机构所在地主管税务机关进行纳税申报。</w:t>
      </w:r>
    </w:p>
    <w:p>
      <w:pPr>
        <w:spacing w:after="0" w:line="364" w:lineRule="auto"/>
        <w:jc w:val="both"/>
        <w:rPr>
          <w:rFonts w:hint="eastAsia" w:ascii="宋体" w:eastAsia="宋体"/>
          <w:sz w:val="24"/>
        </w:rPr>
        <w:sectPr>
          <w:pgSz w:w="11910" w:h="16840"/>
          <w:pgMar w:top="1540" w:right="0" w:bottom="1380" w:left="0" w:header="965" w:footer="1182" w:gutter="0"/>
          <w:cols w:space="720" w:num="1"/>
        </w:sectPr>
      </w:pPr>
    </w:p>
    <w:p>
      <w:pPr>
        <w:pStyle w:val="3"/>
        <w:spacing w:before="2"/>
        <w:ind w:left="0"/>
        <w:rPr>
          <w:sz w:val="12"/>
        </w:rPr>
      </w:pPr>
    </w:p>
    <w:p>
      <w:pPr>
        <w:pStyle w:val="8"/>
        <w:numPr>
          <w:ilvl w:val="0"/>
          <w:numId w:val="68"/>
        </w:numPr>
        <w:tabs>
          <w:tab w:val="left" w:pos="1984"/>
        </w:tabs>
        <w:spacing w:before="67" w:after="0" w:line="364" w:lineRule="auto"/>
        <w:ind w:left="1800" w:right="1792" w:firstLine="0"/>
        <w:jc w:val="both"/>
        <w:rPr>
          <w:rFonts w:hint="eastAsia" w:ascii="宋体" w:eastAsia="宋体"/>
          <w:sz w:val="24"/>
        </w:rPr>
      </w:pPr>
      <w:r>
        <w:rPr>
          <w:rFonts w:hint="eastAsia" w:ascii="宋体" w:eastAsia="宋体"/>
          <w:spacing w:val="-2"/>
          <w:sz w:val="24"/>
        </w:rPr>
        <w:t>小规模纳税人销售其取得</w:t>
      </w:r>
      <w:r>
        <w:rPr>
          <w:rFonts w:hint="eastAsia" w:ascii="宋体" w:eastAsia="宋体"/>
          <w:sz w:val="24"/>
        </w:rPr>
        <w:t>（不含自建</w:t>
      </w:r>
      <w:r>
        <w:rPr>
          <w:rFonts w:hint="eastAsia" w:ascii="宋体" w:eastAsia="宋体"/>
          <w:spacing w:val="-12"/>
          <w:sz w:val="24"/>
        </w:rPr>
        <w:t>）</w:t>
      </w:r>
      <w:r>
        <w:rPr>
          <w:rFonts w:hint="eastAsia" w:ascii="宋体" w:eastAsia="宋体"/>
          <w:spacing w:val="-3"/>
          <w:sz w:val="24"/>
        </w:rPr>
        <w:t>的不动产</w:t>
      </w:r>
      <w:r>
        <w:rPr>
          <w:rFonts w:hint="eastAsia" w:ascii="宋体" w:eastAsia="宋体"/>
          <w:sz w:val="24"/>
        </w:rPr>
        <w:t>（</w:t>
      </w:r>
      <w:r>
        <w:rPr>
          <w:rFonts w:hint="eastAsia" w:ascii="宋体" w:eastAsia="宋体"/>
          <w:spacing w:val="-2"/>
          <w:sz w:val="24"/>
        </w:rPr>
        <w:t>不含个体工商户销售购买的</w:t>
      </w:r>
      <w:r>
        <w:rPr>
          <w:rFonts w:hint="eastAsia" w:ascii="宋体" w:eastAsia="宋体"/>
          <w:sz w:val="24"/>
        </w:rPr>
        <w:t>住房和其他个人销售不动产</w:t>
      </w:r>
      <w:r>
        <w:rPr>
          <w:rFonts w:hint="eastAsia" w:ascii="宋体" w:eastAsia="宋体"/>
          <w:spacing w:val="-47"/>
          <w:sz w:val="24"/>
        </w:rPr>
        <w:t>）</w:t>
      </w:r>
      <w:r>
        <w:rPr>
          <w:rFonts w:hint="eastAsia" w:ascii="宋体" w:eastAsia="宋体"/>
          <w:spacing w:val="-8"/>
          <w:sz w:val="24"/>
        </w:rPr>
        <w:t>，应以取得的全部价款和价外费用减去该项不动产</w:t>
      </w:r>
      <w:r>
        <w:rPr>
          <w:rFonts w:hint="eastAsia" w:ascii="宋体" w:eastAsia="宋体"/>
          <w:spacing w:val="-2"/>
          <w:sz w:val="24"/>
        </w:rPr>
        <w:t xml:space="preserve">购置原价或者取得不动产时的作价后的余额为销售额，按照 </w:t>
      </w:r>
      <w:r>
        <w:rPr>
          <w:rFonts w:ascii="Calibri" w:eastAsia="Calibri"/>
          <w:sz w:val="24"/>
        </w:rPr>
        <w:t>5%</w:t>
      </w:r>
      <w:r>
        <w:rPr>
          <w:rFonts w:hint="eastAsia" w:ascii="宋体" w:eastAsia="宋体"/>
          <w:sz w:val="24"/>
        </w:rPr>
        <w:t>的征收率计算应</w:t>
      </w:r>
      <w:r>
        <w:rPr>
          <w:rFonts w:hint="eastAsia" w:ascii="宋体" w:eastAsia="宋体"/>
          <w:spacing w:val="-10"/>
          <w:sz w:val="24"/>
        </w:rPr>
        <w:t>纳税额。纳税人应按照上述计税方法在不动产所在地预缴税款后，向机构所在地</w:t>
      </w:r>
      <w:r>
        <w:rPr>
          <w:rFonts w:hint="eastAsia" w:ascii="宋体" w:eastAsia="宋体"/>
          <w:sz w:val="24"/>
        </w:rPr>
        <w:t>主管税务机关进行纳税申报。</w:t>
      </w:r>
    </w:p>
    <w:p>
      <w:pPr>
        <w:pStyle w:val="8"/>
        <w:numPr>
          <w:ilvl w:val="0"/>
          <w:numId w:val="68"/>
        </w:numPr>
        <w:tabs>
          <w:tab w:val="left" w:pos="1988"/>
        </w:tabs>
        <w:spacing w:before="3" w:after="0" w:line="364" w:lineRule="auto"/>
        <w:ind w:left="1800" w:right="1797" w:firstLine="0"/>
        <w:jc w:val="both"/>
        <w:rPr>
          <w:rFonts w:hint="eastAsia" w:ascii="宋体" w:eastAsia="宋体"/>
          <w:sz w:val="24"/>
        </w:rPr>
      </w:pPr>
      <w:r>
        <w:rPr>
          <w:rFonts w:hint="eastAsia" w:ascii="宋体" w:eastAsia="宋体"/>
          <w:spacing w:val="3"/>
          <w:sz w:val="24"/>
        </w:rPr>
        <w:t>小规模纳税人销售其自建的不动产，应以取得的全部价款和价外费用为销售</w:t>
      </w:r>
      <w:r>
        <w:rPr>
          <w:rFonts w:hint="eastAsia" w:ascii="宋体" w:eastAsia="宋体"/>
          <w:spacing w:val="-6"/>
          <w:sz w:val="24"/>
        </w:rPr>
        <w:t xml:space="preserve">额，按照 </w:t>
      </w:r>
      <w:r>
        <w:rPr>
          <w:rFonts w:ascii="Calibri" w:eastAsia="Calibri"/>
          <w:sz w:val="24"/>
        </w:rPr>
        <w:t>5%</w:t>
      </w:r>
      <w:r>
        <w:rPr>
          <w:rFonts w:hint="eastAsia" w:ascii="宋体" w:eastAsia="宋体"/>
          <w:spacing w:val="-1"/>
          <w:sz w:val="24"/>
        </w:rPr>
        <w:t>的征收率计算应纳税额。纳税人应按照上述计税方法在不动产所在</w:t>
      </w:r>
      <w:r>
        <w:rPr>
          <w:rFonts w:hint="eastAsia" w:ascii="宋体" w:eastAsia="宋体"/>
          <w:sz w:val="24"/>
        </w:rPr>
        <w:t>地预缴税款后，向机构所在地主管税务机关进行纳税申报。</w:t>
      </w:r>
    </w:p>
    <w:p>
      <w:pPr>
        <w:pStyle w:val="8"/>
        <w:numPr>
          <w:ilvl w:val="0"/>
          <w:numId w:val="68"/>
        </w:numPr>
        <w:tabs>
          <w:tab w:val="left" w:pos="1984"/>
        </w:tabs>
        <w:spacing w:before="2" w:after="0" w:line="364" w:lineRule="auto"/>
        <w:ind w:left="1800" w:right="1795" w:firstLine="0"/>
        <w:jc w:val="both"/>
        <w:rPr>
          <w:rFonts w:hint="eastAsia" w:ascii="宋体" w:eastAsia="宋体"/>
          <w:sz w:val="24"/>
        </w:rPr>
      </w:pPr>
      <w:r>
        <w:rPr>
          <w:rFonts w:hint="eastAsia" w:ascii="宋体" w:eastAsia="宋体"/>
          <w:spacing w:val="-4"/>
          <w:sz w:val="24"/>
        </w:rPr>
        <w:t>房地产开发企业中的一般纳税人，销售自行开发的房地产老项目，可以选择适</w:t>
      </w:r>
      <w:r>
        <w:rPr>
          <w:rFonts w:hint="eastAsia" w:ascii="宋体" w:eastAsia="宋体"/>
          <w:spacing w:val="-7"/>
          <w:sz w:val="24"/>
        </w:rPr>
        <w:t xml:space="preserve">用简易计税方法按照 </w:t>
      </w:r>
      <w:r>
        <w:rPr>
          <w:rFonts w:ascii="Calibri" w:eastAsia="Calibri"/>
          <w:sz w:val="24"/>
        </w:rPr>
        <w:t>5%</w:t>
      </w:r>
      <w:r>
        <w:rPr>
          <w:rFonts w:hint="eastAsia" w:ascii="宋体" w:eastAsia="宋体"/>
          <w:sz w:val="24"/>
        </w:rPr>
        <w:t>的征收率计税。</w:t>
      </w:r>
    </w:p>
    <w:p>
      <w:pPr>
        <w:pStyle w:val="8"/>
        <w:numPr>
          <w:ilvl w:val="0"/>
          <w:numId w:val="68"/>
        </w:numPr>
        <w:tabs>
          <w:tab w:val="left" w:pos="1985"/>
        </w:tabs>
        <w:spacing w:before="1" w:after="0" w:line="364" w:lineRule="auto"/>
        <w:ind w:left="1800" w:right="1795" w:firstLine="0"/>
        <w:jc w:val="both"/>
        <w:rPr>
          <w:rFonts w:hint="eastAsia" w:ascii="宋体" w:eastAsia="宋体"/>
          <w:sz w:val="24"/>
        </w:rPr>
      </w:pPr>
      <w:r>
        <w:pict>
          <v:shape id="_x0000_s1081" o:spid="_x0000_s1081" o:spt="136" type="#_x0000_t136" style="position:absolute;left:0pt;margin-left:41.25pt;margin-top:39.65pt;height:132pt;width:528.05pt;mso-position-horizontal-relative:page;rotation:20643840f;z-index:-251599872;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宋体" w:eastAsia="宋体"/>
          <w:spacing w:val="-1"/>
          <w:sz w:val="24"/>
        </w:rPr>
        <w:t xml:space="preserve">房地产开发企业中的小规模纳税人，销售自行开发的房地产项目，按照 </w:t>
      </w:r>
      <w:r>
        <w:rPr>
          <w:rFonts w:ascii="Calibri" w:eastAsia="Calibri"/>
          <w:sz w:val="24"/>
        </w:rPr>
        <w:t>5%</w:t>
      </w:r>
      <w:r>
        <w:rPr>
          <w:rFonts w:hint="eastAsia" w:ascii="宋体" w:eastAsia="宋体"/>
          <w:sz w:val="24"/>
        </w:rPr>
        <w:t>的征收率计税。</w:t>
      </w:r>
    </w:p>
    <w:p>
      <w:pPr>
        <w:pStyle w:val="8"/>
        <w:numPr>
          <w:ilvl w:val="0"/>
          <w:numId w:val="68"/>
        </w:numPr>
        <w:tabs>
          <w:tab w:val="left" w:pos="1984"/>
        </w:tabs>
        <w:spacing w:before="1" w:after="0" w:line="364" w:lineRule="auto"/>
        <w:ind w:left="1800" w:right="1797" w:firstLine="0"/>
        <w:jc w:val="both"/>
        <w:rPr>
          <w:rFonts w:hint="eastAsia" w:ascii="宋体" w:eastAsia="宋体"/>
          <w:sz w:val="24"/>
        </w:rPr>
      </w:pPr>
      <w:r>
        <w:rPr>
          <w:rFonts w:hint="eastAsia" w:ascii="宋体" w:eastAsia="宋体"/>
          <w:spacing w:val="-4"/>
          <w:sz w:val="24"/>
        </w:rPr>
        <w:t>房地产开发企业采取预收款方式销售所开发的房地产项目，在收到预收款时按</w:t>
      </w:r>
      <w:r>
        <w:rPr>
          <w:rFonts w:hint="eastAsia" w:ascii="宋体" w:eastAsia="宋体"/>
          <w:spacing w:val="-31"/>
          <w:sz w:val="24"/>
        </w:rPr>
        <w:t xml:space="preserve">照 </w:t>
      </w:r>
      <w:r>
        <w:rPr>
          <w:rFonts w:ascii="Calibri" w:eastAsia="Calibri"/>
          <w:sz w:val="24"/>
        </w:rPr>
        <w:t>3%</w:t>
      </w:r>
      <w:r>
        <w:rPr>
          <w:rFonts w:hint="eastAsia" w:ascii="宋体" w:eastAsia="宋体"/>
          <w:sz w:val="24"/>
        </w:rPr>
        <w:t>的预征率预缴增值税。</w:t>
      </w:r>
    </w:p>
    <w:p>
      <w:pPr>
        <w:pStyle w:val="8"/>
        <w:numPr>
          <w:ilvl w:val="0"/>
          <w:numId w:val="68"/>
        </w:numPr>
        <w:tabs>
          <w:tab w:val="left" w:pos="2107"/>
        </w:tabs>
        <w:spacing w:before="1" w:after="0" w:line="364" w:lineRule="auto"/>
        <w:ind w:left="1800" w:right="1797" w:firstLine="0"/>
        <w:jc w:val="both"/>
        <w:rPr>
          <w:rFonts w:hint="eastAsia" w:ascii="宋体" w:eastAsia="宋体"/>
          <w:sz w:val="24"/>
        </w:rPr>
      </w:pPr>
      <w:r>
        <w:rPr>
          <w:rFonts w:hint="eastAsia" w:ascii="宋体" w:eastAsia="宋体"/>
          <w:spacing w:val="-7"/>
          <w:sz w:val="24"/>
        </w:rPr>
        <w:t xml:space="preserve">个体工商户销售购买的住房，应按照附件 </w:t>
      </w:r>
      <w:r>
        <w:rPr>
          <w:rFonts w:ascii="Calibri" w:eastAsia="Calibri"/>
          <w:spacing w:val="-48"/>
          <w:sz w:val="24"/>
        </w:rPr>
        <w:t>3</w:t>
      </w:r>
      <w:r>
        <w:rPr>
          <w:rFonts w:hint="eastAsia" w:ascii="宋体" w:eastAsia="宋体"/>
          <w:spacing w:val="-3"/>
          <w:sz w:val="24"/>
        </w:rPr>
        <w:t>《</w:t>
      </w:r>
      <w:r>
        <w:fldChar w:fldCharType="begin"/>
      </w:r>
      <w:r>
        <w:instrText xml:space="preserve"> HYPERLINK "http://www.waizi.org.cn/law/9789.html" \h </w:instrText>
      </w:r>
      <w:r>
        <w:fldChar w:fldCharType="separate"/>
      </w:r>
      <w:r>
        <w:rPr>
          <w:rFonts w:hint="eastAsia" w:ascii="宋体" w:eastAsia="宋体"/>
          <w:spacing w:val="-1"/>
          <w:sz w:val="24"/>
        </w:rPr>
        <w:t>营业税改征增值税试点过渡政策</w:t>
      </w:r>
      <w:r>
        <w:rPr>
          <w:rFonts w:hint="eastAsia" w:ascii="宋体" w:eastAsia="宋体"/>
          <w:spacing w:val="-1"/>
          <w:sz w:val="24"/>
        </w:rPr>
        <w:fldChar w:fldCharType="end"/>
      </w:r>
      <w:r>
        <w:rPr>
          <w:rFonts w:hint="eastAsia" w:ascii="宋体" w:eastAsia="宋体"/>
          <w:spacing w:val="-11"/>
          <w:sz w:val="24"/>
        </w:rPr>
        <w:t>的规定》第五条的规定征免增值税。纳税人应按照上述计税方法在不动产所在地</w:t>
      </w:r>
      <w:r>
        <w:rPr>
          <w:rFonts w:hint="eastAsia" w:ascii="宋体" w:eastAsia="宋体"/>
          <w:sz w:val="24"/>
        </w:rPr>
        <w:t>预缴税款后，向机构所在地主管税务机关进行纳税申报。</w:t>
      </w:r>
    </w:p>
    <w:p>
      <w:pPr>
        <w:pStyle w:val="8"/>
        <w:numPr>
          <w:ilvl w:val="0"/>
          <w:numId w:val="68"/>
        </w:numPr>
        <w:tabs>
          <w:tab w:val="left" w:pos="2107"/>
        </w:tabs>
        <w:spacing w:before="2" w:after="0" w:line="364" w:lineRule="auto"/>
        <w:ind w:left="1800" w:right="1797" w:firstLine="0"/>
        <w:jc w:val="both"/>
        <w:rPr>
          <w:rFonts w:hint="eastAsia" w:ascii="宋体" w:eastAsia="宋体"/>
          <w:sz w:val="24"/>
        </w:rPr>
      </w:pPr>
      <w:r>
        <w:rPr>
          <w:rFonts w:hint="eastAsia" w:ascii="宋体" w:eastAsia="宋体"/>
          <w:sz w:val="24"/>
        </w:rPr>
        <w:t>其他个人销售其取得（不含自建）的不动产（不含其购买的住房），应以取得的全部价款和价外费用减去该项不动产购置原价或者取得不动产时的作价后</w:t>
      </w:r>
      <w:r>
        <w:rPr>
          <w:rFonts w:hint="eastAsia" w:ascii="宋体" w:eastAsia="宋体"/>
          <w:spacing w:val="-6"/>
          <w:sz w:val="24"/>
        </w:rPr>
        <w:t xml:space="preserve">的余额为销售额，按照 </w:t>
      </w:r>
      <w:r>
        <w:rPr>
          <w:rFonts w:ascii="Calibri" w:eastAsia="Calibri"/>
          <w:sz w:val="24"/>
        </w:rPr>
        <w:t>5%</w:t>
      </w:r>
      <w:r>
        <w:rPr>
          <w:rFonts w:hint="eastAsia" w:ascii="宋体" w:eastAsia="宋体"/>
          <w:sz w:val="24"/>
        </w:rPr>
        <w:t>的征收率计算应纳税额。</w:t>
      </w:r>
    </w:p>
    <w:p>
      <w:pPr>
        <w:pStyle w:val="3"/>
        <w:spacing w:before="2"/>
      </w:pPr>
      <w:r>
        <w:t>（九）不动产经营租赁服务。</w:t>
      </w:r>
    </w:p>
    <w:p>
      <w:pPr>
        <w:pStyle w:val="8"/>
        <w:numPr>
          <w:ilvl w:val="0"/>
          <w:numId w:val="69"/>
        </w:numPr>
        <w:tabs>
          <w:tab w:val="left" w:pos="1984"/>
        </w:tabs>
        <w:spacing w:before="160" w:after="0" w:line="240" w:lineRule="auto"/>
        <w:ind w:left="1983" w:right="0" w:hanging="184"/>
        <w:jc w:val="both"/>
        <w:rPr>
          <w:rFonts w:hint="eastAsia" w:ascii="宋体" w:eastAsia="宋体"/>
          <w:sz w:val="24"/>
        </w:rPr>
      </w:pPr>
      <w:r>
        <w:rPr>
          <w:rFonts w:hint="eastAsia" w:ascii="宋体" w:eastAsia="宋体"/>
          <w:spacing w:val="-7"/>
          <w:sz w:val="24"/>
        </w:rPr>
        <w:t xml:space="preserve">一般纳税人出租其 </w:t>
      </w:r>
      <w:r>
        <w:rPr>
          <w:rFonts w:ascii="Calibri" w:eastAsia="Calibri"/>
          <w:sz w:val="24"/>
        </w:rPr>
        <w:t>2016</w:t>
      </w:r>
      <w:r>
        <w:rPr>
          <w:rFonts w:ascii="Calibri" w:eastAsia="Calibri"/>
          <w:spacing w:val="4"/>
          <w:sz w:val="24"/>
        </w:rPr>
        <w:t xml:space="preserve"> </w:t>
      </w:r>
      <w:r>
        <w:rPr>
          <w:rFonts w:hint="eastAsia" w:ascii="宋体" w:eastAsia="宋体"/>
          <w:spacing w:val="-30"/>
          <w:sz w:val="24"/>
        </w:rPr>
        <w:t xml:space="preserve">年 </w:t>
      </w:r>
      <w:r>
        <w:rPr>
          <w:rFonts w:ascii="Calibri" w:eastAsia="Calibri"/>
          <w:sz w:val="24"/>
        </w:rPr>
        <w:t>4</w:t>
      </w:r>
      <w:r>
        <w:rPr>
          <w:rFonts w:ascii="Calibri" w:eastAsia="Calibri"/>
          <w:spacing w:val="6"/>
          <w:sz w:val="24"/>
        </w:rPr>
        <w:t xml:space="preserve"> </w:t>
      </w:r>
      <w:r>
        <w:rPr>
          <w:rFonts w:hint="eastAsia" w:ascii="宋体" w:eastAsia="宋体"/>
          <w:spacing w:val="-30"/>
          <w:sz w:val="24"/>
        </w:rPr>
        <w:t xml:space="preserve">月 </w:t>
      </w:r>
      <w:r>
        <w:rPr>
          <w:rFonts w:ascii="Calibri" w:eastAsia="Calibri"/>
          <w:sz w:val="24"/>
        </w:rPr>
        <w:t>30</w:t>
      </w:r>
      <w:r>
        <w:rPr>
          <w:rFonts w:ascii="Calibri" w:eastAsia="Calibri"/>
          <w:spacing w:val="6"/>
          <w:sz w:val="24"/>
        </w:rPr>
        <w:t xml:space="preserve"> </w:t>
      </w:r>
      <w:r>
        <w:rPr>
          <w:rFonts w:hint="eastAsia" w:ascii="宋体" w:eastAsia="宋体"/>
          <w:spacing w:val="-7"/>
          <w:sz w:val="24"/>
        </w:rPr>
        <w:t>日前取得的不动产，可以选择适用简易计税</w:t>
      </w:r>
    </w:p>
    <w:p>
      <w:pPr>
        <w:pStyle w:val="3"/>
        <w:spacing w:before="161" w:line="364" w:lineRule="auto"/>
        <w:ind w:right="1792"/>
        <w:jc w:val="both"/>
      </w:pPr>
      <w:r>
        <w:t>方法</w:t>
      </w:r>
      <w:r>
        <w:rPr>
          <w:rFonts w:ascii="Calibri" w:eastAsia="Calibri"/>
        </w:rPr>
        <w:t>,</w:t>
      </w:r>
      <w:r>
        <w:rPr>
          <w:spacing w:val="-21"/>
        </w:rPr>
        <w:t xml:space="preserve">按照 </w:t>
      </w:r>
      <w:r>
        <w:rPr>
          <w:rFonts w:ascii="Calibri" w:eastAsia="Calibri"/>
        </w:rPr>
        <w:t>5%</w:t>
      </w:r>
      <w:r>
        <w:rPr>
          <w:spacing w:val="-7"/>
        </w:rPr>
        <w:t xml:space="preserve">的征收率计算应纳税额。纳税人出租其 </w:t>
      </w:r>
      <w:r>
        <w:rPr>
          <w:rFonts w:ascii="Calibri" w:eastAsia="Calibri"/>
        </w:rPr>
        <w:t xml:space="preserve">2016 </w:t>
      </w:r>
      <w:r>
        <w:rPr>
          <w:spacing w:val="-30"/>
        </w:rPr>
        <w:t xml:space="preserve">年 </w:t>
      </w:r>
      <w:r>
        <w:rPr>
          <w:rFonts w:ascii="Calibri" w:eastAsia="Calibri"/>
        </w:rPr>
        <w:t xml:space="preserve">4 </w:t>
      </w:r>
      <w:r>
        <w:rPr>
          <w:spacing w:val="-31"/>
        </w:rPr>
        <w:t xml:space="preserve">月 </w:t>
      </w:r>
      <w:r>
        <w:rPr>
          <w:rFonts w:ascii="Calibri" w:eastAsia="Calibri"/>
        </w:rPr>
        <w:t xml:space="preserve">30 </w:t>
      </w:r>
      <w:r>
        <w:rPr>
          <w:spacing w:val="-3"/>
        </w:rPr>
        <w:t>日前取得的与机构所在地不在同一县</w:t>
      </w:r>
      <w:r>
        <w:t>（市</w:t>
      </w:r>
      <w:r>
        <w:rPr>
          <w:spacing w:val="-32"/>
        </w:rPr>
        <w:t>）</w:t>
      </w:r>
      <w:r>
        <w:rPr>
          <w:spacing w:val="-7"/>
        </w:rPr>
        <w:t>的不动产，应按照上述计税方法在不动产所在地</w:t>
      </w:r>
      <w:r>
        <w:t>预缴税款后，向机构所在地主管税务机关进行纳税申报。</w:t>
      </w:r>
    </w:p>
    <w:p>
      <w:pPr>
        <w:pStyle w:val="8"/>
        <w:numPr>
          <w:ilvl w:val="0"/>
          <w:numId w:val="69"/>
        </w:numPr>
        <w:tabs>
          <w:tab w:val="left" w:pos="1984"/>
        </w:tabs>
        <w:spacing w:before="2" w:after="0" w:line="364" w:lineRule="auto"/>
        <w:ind w:left="1800" w:right="1797" w:firstLine="0"/>
        <w:jc w:val="both"/>
        <w:rPr>
          <w:rFonts w:hint="eastAsia" w:ascii="宋体" w:eastAsia="宋体"/>
          <w:sz w:val="24"/>
        </w:rPr>
      </w:pPr>
      <w:r>
        <w:rPr>
          <w:rFonts w:hint="eastAsia" w:ascii="宋体" w:eastAsia="宋体"/>
          <w:spacing w:val="-3"/>
          <w:sz w:val="24"/>
        </w:rPr>
        <w:t>公路经营企业中的一般纳税人收取试点前开工的高速公路的车辆通行费，可以</w:t>
      </w:r>
      <w:r>
        <w:rPr>
          <w:rFonts w:hint="eastAsia" w:ascii="宋体" w:eastAsia="宋体"/>
          <w:spacing w:val="-5"/>
          <w:sz w:val="24"/>
        </w:rPr>
        <w:t xml:space="preserve">选择适用简易计税方法，减按 </w:t>
      </w:r>
      <w:r>
        <w:rPr>
          <w:rFonts w:ascii="Calibri" w:eastAsia="Calibri"/>
          <w:sz w:val="24"/>
        </w:rPr>
        <w:t>3%</w:t>
      </w:r>
      <w:r>
        <w:rPr>
          <w:rFonts w:hint="eastAsia" w:ascii="宋体" w:eastAsia="宋体"/>
          <w:sz w:val="24"/>
        </w:rPr>
        <w:t>的征收率计算应纳税额。</w:t>
      </w:r>
    </w:p>
    <w:p>
      <w:pPr>
        <w:pStyle w:val="3"/>
        <w:jc w:val="both"/>
        <w:rPr>
          <w:rFonts w:ascii="Calibri" w:eastAsia="Calibri"/>
        </w:rPr>
      </w:pPr>
      <w:r>
        <w:t xml:space="preserve">试点前开工的高速公路，是指相关施工许可证明上注明的合同开工日期在 </w:t>
      </w:r>
      <w:r>
        <w:rPr>
          <w:rFonts w:ascii="Calibri" w:eastAsia="Calibri"/>
        </w:rPr>
        <w:t>2016</w:t>
      </w:r>
    </w:p>
    <w:p>
      <w:pPr>
        <w:pStyle w:val="3"/>
        <w:spacing w:before="160"/>
        <w:jc w:val="both"/>
      </w:pPr>
      <w:r>
        <w:t xml:space="preserve">年 </w:t>
      </w:r>
      <w:r>
        <w:rPr>
          <w:rFonts w:ascii="Calibri" w:eastAsia="Calibri"/>
        </w:rPr>
        <w:t xml:space="preserve">4 </w:t>
      </w:r>
      <w:r>
        <w:t xml:space="preserve">月 </w:t>
      </w:r>
      <w:r>
        <w:rPr>
          <w:rFonts w:ascii="Calibri" w:eastAsia="Calibri"/>
        </w:rPr>
        <w:t xml:space="preserve">30 </w:t>
      </w:r>
      <w:r>
        <w:t>日前的高速公路。</w:t>
      </w:r>
    </w:p>
    <w:p>
      <w:pPr>
        <w:spacing w:after="0"/>
        <w:jc w:val="both"/>
        <w:sectPr>
          <w:footerReference r:id="rId11" w:type="default"/>
          <w:pgSz w:w="11910" w:h="16840"/>
          <w:pgMar w:top="1540" w:right="0" w:bottom="1380" w:left="0" w:header="965" w:footer="1182" w:gutter="0"/>
          <w:pgNumType w:start="50"/>
          <w:cols w:space="720" w:num="1"/>
        </w:sectPr>
      </w:pPr>
    </w:p>
    <w:p>
      <w:pPr>
        <w:pStyle w:val="3"/>
        <w:spacing w:before="2"/>
        <w:ind w:left="0"/>
        <w:rPr>
          <w:sz w:val="12"/>
        </w:rPr>
      </w:pPr>
    </w:p>
    <w:p>
      <w:pPr>
        <w:pStyle w:val="8"/>
        <w:numPr>
          <w:ilvl w:val="0"/>
          <w:numId w:val="69"/>
        </w:numPr>
        <w:tabs>
          <w:tab w:val="left" w:pos="1984"/>
        </w:tabs>
        <w:spacing w:before="67" w:after="0" w:line="364" w:lineRule="auto"/>
        <w:ind w:left="1800" w:right="1672" w:firstLine="0"/>
        <w:jc w:val="left"/>
        <w:rPr>
          <w:rFonts w:hint="eastAsia" w:ascii="宋体" w:eastAsia="宋体"/>
          <w:sz w:val="24"/>
        </w:rPr>
      </w:pPr>
      <w:r>
        <w:rPr>
          <w:rFonts w:hint="eastAsia" w:ascii="宋体" w:eastAsia="宋体"/>
          <w:spacing w:val="-7"/>
          <w:sz w:val="24"/>
        </w:rPr>
        <w:t xml:space="preserve">一般纳税人出租其 </w:t>
      </w:r>
      <w:r>
        <w:rPr>
          <w:rFonts w:ascii="Calibri" w:eastAsia="Calibri"/>
          <w:sz w:val="24"/>
        </w:rPr>
        <w:t>2016</w:t>
      </w:r>
      <w:r>
        <w:rPr>
          <w:rFonts w:ascii="Calibri" w:eastAsia="Calibri"/>
          <w:spacing w:val="5"/>
          <w:sz w:val="24"/>
        </w:rPr>
        <w:t xml:space="preserve"> </w:t>
      </w:r>
      <w:r>
        <w:rPr>
          <w:rFonts w:hint="eastAsia" w:ascii="宋体" w:eastAsia="宋体"/>
          <w:spacing w:val="-29"/>
          <w:sz w:val="24"/>
        </w:rPr>
        <w:t xml:space="preserve">年 </w:t>
      </w:r>
      <w:r>
        <w:rPr>
          <w:rFonts w:ascii="Calibri" w:eastAsia="Calibri"/>
          <w:sz w:val="24"/>
        </w:rPr>
        <w:t>5</w:t>
      </w:r>
      <w:r>
        <w:rPr>
          <w:rFonts w:ascii="Calibri" w:eastAsia="Calibri"/>
          <w:spacing w:val="5"/>
          <w:sz w:val="24"/>
        </w:rPr>
        <w:t xml:space="preserve"> </w:t>
      </w:r>
      <w:r>
        <w:rPr>
          <w:rFonts w:hint="eastAsia" w:ascii="宋体" w:eastAsia="宋体"/>
          <w:spacing w:val="-30"/>
          <w:sz w:val="24"/>
        </w:rPr>
        <w:t xml:space="preserve">月 </w:t>
      </w:r>
      <w:r>
        <w:rPr>
          <w:rFonts w:ascii="Calibri" w:eastAsia="Calibri"/>
          <w:sz w:val="24"/>
        </w:rPr>
        <w:t>1</w:t>
      </w:r>
      <w:r>
        <w:rPr>
          <w:rFonts w:ascii="Calibri" w:eastAsia="Calibri"/>
          <w:spacing w:val="6"/>
          <w:sz w:val="24"/>
        </w:rPr>
        <w:t xml:space="preserve"> </w:t>
      </w:r>
      <w:r>
        <w:rPr>
          <w:rFonts w:hint="eastAsia" w:ascii="宋体" w:eastAsia="宋体"/>
          <w:spacing w:val="-6"/>
          <w:sz w:val="24"/>
        </w:rPr>
        <w:t>日后取得的、与机构所在地不在同一县</w:t>
      </w:r>
      <w:r>
        <w:rPr>
          <w:rFonts w:hint="eastAsia" w:ascii="宋体" w:eastAsia="宋体"/>
          <w:sz w:val="24"/>
        </w:rPr>
        <w:t>（市</w:t>
      </w:r>
      <w:r>
        <w:rPr>
          <w:rFonts w:hint="eastAsia" w:ascii="宋体" w:eastAsia="宋体"/>
          <w:spacing w:val="-11"/>
          <w:sz w:val="24"/>
        </w:rPr>
        <w:t xml:space="preserve">） 的不动产，应按照 </w:t>
      </w:r>
      <w:r>
        <w:rPr>
          <w:rFonts w:ascii="Calibri" w:eastAsia="Calibri"/>
          <w:sz w:val="24"/>
        </w:rPr>
        <w:t>3</w:t>
      </w:r>
      <w:r>
        <w:rPr>
          <w:rFonts w:hint="eastAsia" w:ascii="宋体" w:eastAsia="宋体"/>
          <w:spacing w:val="-1"/>
          <w:sz w:val="24"/>
        </w:rPr>
        <w:t>％的预征率在不动产所在地预缴税款后，向机构所在地主管税务机关进行纳税申报。</w:t>
      </w:r>
    </w:p>
    <w:p>
      <w:pPr>
        <w:pStyle w:val="8"/>
        <w:numPr>
          <w:ilvl w:val="0"/>
          <w:numId w:val="69"/>
        </w:numPr>
        <w:tabs>
          <w:tab w:val="left" w:pos="1985"/>
        </w:tabs>
        <w:spacing w:before="2" w:after="0" w:line="364" w:lineRule="auto"/>
        <w:ind w:left="1800" w:right="1797" w:firstLine="0"/>
        <w:jc w:val="both"/>
        <w:rPr>
          <w:rFonts w:hint="eastAsia" w:ascii="宋体" w:eastAsia="宋体"/>
          <w:sz w:val="24"/>
        </w:rPr>
      </w:pPr>
      <w:r>
        <w:rPr>
          <w:rFonts w:hint="eastAsia" w:ascii="宋体" w:eastAsia="宋体"/>
          <w:sz w:val="24"/>
        </w:rPr>
        <w:t>小规模纳税人出租其取得的不动产（不含个人出租住房</w:t>
      </w:r>
      <w:r>
        <w:rPr>
          <w:rFonts w:hint="eastAsia" w:ascii="宋体" w:eastAsia="宋体"/>
          <w:spacing w:val="3"/>
          <w:sz w:val="24"/>
        </w:rPr>
        <w:t>）</w:t>
      </w:r>
      <w:r>
        <w:rPr>
          <w:rFonts w:hint="eastAsia" w:ascii="宋体" w:eastAsia="宋体"/>
          <w:spacing w:val="-5"/>
          <w:sz w:val="24"/>
        </w:rPr>
        <w:t xml:space="preserve">，应按照 </w:t>
      </w:r>
      <w:r>
        <w:rPr>
          <w:rFonts w:ascii="Calibri" w:eastAsia="Calibri"/>
          <w:sz w:val="24"/>
        </w:rPr>
        <w:t>5%</w:t>
      </w:r>
      <w:r>
        <w:rPr>
          <w:rFonts w:hint="eastAsia" w:ascii="宋体" w:eastAsia="宋体"/>
          <w:sz w:val="24"/>
        </w:rPr>
        <w:t>的征收</w:t>
      </w:r>
      <w:r>
        <w:rPr>
          <w:rFonts w:hint="eastAsia" w:ascii="宋体" w:eastAsia="宋体"/>
          <w:spacing w:val="-4"/>
          <w:sz w:val="24"/>
        </w:rPr>
        <w:t>率计算应纳税额。纳税人出租与机构所在地不在同一县</w:t>
      </w:r>
      <w:r>
        <w:rPr>
          <w:rFonts w:hint="eastAsia" w:ascii="宋体" w:eastAsia="宋体"/>
          <w:sz w:val="24"/>
        </w:rPr>
        <w:t>（市</w:t>
      </w:r>
      <w:r>
        <w:rPr>
          <w:rFonts w:hint="eastAsia" w:ascii="宋体" w:eastAsia="宋体"/>
          <w:spacing w:val="-24"/>
          <w:sz w:val="24"/>
        </w:rPr>
        <w:t>）</w:t>
      </w:r>
      <w:r>
        <w:rPr>
          <w:rFonts w:hint="eastAsia" w:ascii="宋体" w:eastAsia="宋体"/>
          <w:spacing w:val="-7"/>
          <w:sz w:val="24"/>
        </w:rPr>
        <w:t>的不动产，应按照</w:t>
      </w:r>
      <w:r>
        <w:rPr>
          <w:rFonts w:hint="eastAsia" w:ascii="宋体" w:eastAsia="宋体"/>
          <w:spacing w:val="-6"/>
          <w:sz w:val="24"/>
        </w:rPr>
        <w:t>上述计税方法在不动产所在地预缴税款后，向机构所在地主管税务机关进行纳税</w:t>
      </w:r>
      <w:r>
        <w:rPr>
          <w:rFonts w:hint="eastAsia" w:ascii="宋体" w:eastAsia="宋体"/>
          <w:sz w:val="24"/>
        </w:rPr>
        <w:t>申报。</w:t>
      </w:r>
    </w:p>
    <w:p>
      <w:pPr>
        <w:pStyle w:val="8"/>
        <w:numPr>
          <w:ilvl w:val="0"/>
          <w:numId w:val="69"/>
        </w:numPr>
        <w:tabs>
          <w:tab w:val="left" w:pos="1985"/>
        </w:tabs>
        <w:spacing w:before="2" w:after="0" w:line="364" w:lineRule="auto"/>
        <w:ind w:left="1800" w:right="1797" w:firstLine="0"/>
        <w:jc w:val="both"/>
        <w:rPr>
          <w:rFonts w:hint="eastAsia" w:ascii="宋体" w:eastAsia="宋体"/>
          <w:sz w:val="24"/>
        </w:rPr>
      </w:pPr>
      <w:r>
        <w:rPr>
          <w:rFonts w:hint="eastAsia" w:ascii="宋体" w:eastAsia="宋体"/>
          <w:sz w:val="24"/>
        </w:rPr>
        <w:t>其他个人出租其取得的不动产（不含住房）</w:t>
      </w:r>
      <w:r>
        <w:rPr>
          <w:rFonts w:hint="eastAsia" w:ascii="宋体" w:eastAsia="宋体"/>
          <w:spacing w:val="-5"/>
          <w:sz w:val="24"/>
        </w:rPr>
        <w:t xml:space="preserve">，应按照 </w:t>
      </w:r>
      <w:r>
        <w:rPr>
          <w:rFonts w:ascii="Calibri" w:eastAsia="Calibri"/>
          <w:sz w:val="24"/>
        </w:rPr>
        <w:t>5%</w:t>
      </w:r>
      <w:r>
        <w:rPr>
          <w:rFonts w:hint="eastAsia" w:ascii="宋体" w:eastAsia="宋体"/>
          <w:sz w:val="24"/>
        </w:rPr>
        <w:t>的征收率计算应纳税额。</w:t>
      </w:r>
    </w:p>
    <w:p>
      <w:pPr>
        <w:pStyle w:val="8"/>
        <w:numPr>
          <w:ilvl w:val="0"/>
          <w:numId w:val="69"/>
        </w:numPr>
        <w:tabs>
          <w:tab w:val="left" w:pos="1984"/>
        </w:tabs>
        <w:spacing w:before="1" w:after="0" w:line="240" w:lineRule="auto"/>
        <w:ind w:left="1983" w:right="0" w:hanging="184"/>
        <w:jc w:val="both"/>
        <w:rPr>
          <w:rFonts w:hint="eastAsia" w:ascii="宋体" w:eastAsia="宋体"/>
          <w:sz w:val="24"/>
        </w:rPr>
      </w:pPr>
      <w:r>
        <w:rPr>
          <w:rFonts w:hint="eastAsia" w:ascii="宋体" w:eastAsia="宋体"/>
          <w:spacing w:val="-6"/>
          <w:sz w:val="24"/>
        </w:rPr>
        <w:t xml:space="preserve">个人出租住房，应按照 </w:t>
      </w:r>
      <w:r>
        <w:rPr>
          <w:rFonts w:ascii="Calibri" w:eastAsia="Calibri"/>
          <w:sz w:val="24"/>
        </w:rPr>
        <w:t>5%</w:t>
      </w:r>
      <w:r>
        <w:rPr>
          <w:rFonts w:hint="eastAsia" w:ascii="宋体" w:eastAsia="宋体"/>
          <w:spacing w:val="-9"/>
          <w:sz w:val="24"/>
        </w:rPr>
        <w:t xml:space="preserve">的征收率减按 </w:t>
      </w:r>
      <w:r>
        <w:rPr>
          <w:rFonts w:ascii="Calibri" w:eastAsia="Calibri"/>
          <w:sz w:val="24"/>
        </w:rPr>
        <w:t>1.5%</w:t>
      </w:r>
      <w:r>
        <w:rPr>
          <w:rFonts w:hint="eastAsia" w:ascii="宋体" w:eastAsia="宋体"/>
          <w:sz w:val="24"/>
        </w:rPr>
        <w:t>计算应纳税额。</w:t>
      </w:r>
    </w:p>
    <w:p>
      <w:pPr>
        <w:pStyle w:val="3"/>
        <w:spacing w:before="161" w:line="364" w:lineRule="auto"/>
        <w:ind w:right="1792"/>
        <w:jc w:val="both"/>
      </w:pPr>
      <w:r>
        <w:pict>
          <v:shape id="_x0000_s1082" o:spid="_x0000_s1082" o:spt="136" type="#_x0000_t136" style="position:absolute;left:0pt;margin-left:41.25pt;margin-top:47.65pt;height:132pt;width:528.05pt;mso-position-horizontal-relative:page;rotation:20643840f;z-index:-251598848;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t>（十</w:t>
      </w:r>
      <w:r>
        <w:rPr>
          <w:spacing w:val="-27"/>
        </w:rPr>
        <w:t>）</w:t>
      </w:r>
      <w:r>
        <w:rPr>
          <w:spacing w:val="-7"/>
        </w:rPr>
        <w:t xml:space="preserve">一般纳税人销售其 </w:t>
      </w:r>
      <w:r>
        <w:rPr>
          <w:rFonts w:ascii="Calibri" w:eastAsia="Calibri"/>
        </w:rPr>
        <w:t xml:space="preserve">2016 </w:t>
      </w:r>
      <w:r>
        <w:rPr>
          <w:spacing w:val="-29"/>
        </w:rPr>
        <w:t xml:space="preserve">年 </w:t>
      </w:r>
      <w:r>
        <w:rPr>
          <w:rFonts w:ascii="Calibri" w:eastAsia="Calibri"/>
        </w:rPr>
        <w:t xml:space="preserve">4 </w:t>
      </w:r>
      <w:r>
        <w:rPr>
          <w:spacing w:val="-29"/>
        </w:rPr>
        <w:t xml:space="preserve">月 </w:t>
      </w:r>
      <w:r>
        <w:rPr>
          <w:rFonts w:ascii="Calibri" w:eastAsia="Calibri"/>
        </w:rPr>
        <w:t xml:space="preserve">30 </w:t>
      </w:r>
      <w:r>
        <w:rPr>
          <w:spacing w:val="-4"/>
        </w:rPr>
        <w:t>日前取得的不动产</w:t>
      </w:r>
      <w:r>
        <w:t>（不含自建</w:t>
      </w:r>
      <w:r>
        <w:rPr>
          <w:spacing w:val="-27"/>
        </w:rPr>
        <w:t>），</w:t>
      </w:r>
      <w:r>
        <w:t>适用</w:t>
      </w:r>
      <w:r>
        <w:rPr>
          <w:spacing w:val="-8"/>
        </w:rPr>
        <w:t>一般计税方法计税的，以取得的全部价款和价外费用为销售额计算应纳税额。上</w:t>
      </w:r>
      <w:r>
        <w:t>述纳税人应以取得的全部价款和价外费用减去该项不动产购置原价或者取得不</w:t>
      </w:r>
      <w:r>
        <w:rPr>
          <w:spacing w:val="-3"/>
        </w:rPr>
        <w:t xml:space="preserve">动产时的作价后的余额，按照 </w:t>
      </w:r>
      <w:r>
        <w:rPr>
          <w:rFonts w:ascii="Calibri" w:eastAsia="Calibri"/>
        </w:rPr>
        <w:t>5%</w:t>
      </w:r>
      <w:r>
        <w:t>的预征率在不动产所在地预缴税款后，向机构所在地主管税务机关进行纳税申报。</w:t>
      </w:r>
    </w:p>
    <w:p>
      <w:pPr>
        <w:pStyle w:val="3"/>
        <w:spacing w:before="3" w:line="364" w:lineRule="auto"/>
        <w:ind w:right="1795"/>
        <w:jc w:val="both"/>
      </w:pPr>
      <w:r>
        <w:rPr>
          <w:spacing w:val="10"/>
        </w:rPr>
        <w:t>房地产开发企业中的一般纳税人销售房地产老项目，以及一般纳税人出租其</w:t>
      </w:r>
      <w:r>
        <w:rPr>
          <w:rFonts w:ascii="Calibri" w:eastAsia="Calibri"/>
        </w:rPr>
        <w:t>2016</w:t>
      </w:r>
      <w:r>
        <w:rPr>
          <w:rFonts w:ascii="Calibri" w:eastAsia="Calibri"/>
          <w:spacing w:val="1"/>
        </w:rPr>
        <w:t xml:space="preserve"> </w:t>
      </w:r>
      <w:r>
        <w:rPr>
          <w:spacing w:val="-30"/>
        </w:rPr>
        <w:t xml:space="preserve">年 </w:t>
      </w:r>
      <w:r>
        <w:rPr>
          <w:rFonts w:ascii="Calibri" w:eastAsia="Calibri"/>
        </w:rPr>
        <w:t>4</w:t>
      </w:r>
      <w:r>
        <w:rPr>
          <w:rFonts w:ascii="Calibri" w:eastAsia="Calibri"/>
          <w:spacing w:val="7"/>
        </w:rPr>
        <w:t xml:space="preserve"> </w:t>
      </w:r>
      <w:r>
        <w:rPr>
          <w:spacing w:val="-30"/>
        </w:rPr>
        <w:t xml:space="preserve">月 </w:t>
      </w:r>
      <w:r>
        <w:rPr>
          <w:rFonts w:ascii="Calibri" w:eastAsia="Calibri"/>
        </w:rPr>
        <w:t>30</w:t>
      </w:r>
      <w:r>
        <w:rPr>
          <w:rFonts w:ascii="Calibri" w:eastAsia="Calibri"/>
          <w:spacing w:val="6"/>
        </w:rPr>
        <w:t xml:space="preserve"> </w:t>
      </w:r>
      <w:r>
        <w:rPr>
          <w:spacing w:val="-5"/>
        </w:rPr>
        <w:t>日前取得的不动产，适用一般计税方法计税的，应以取得的全部</w:t>
      </w:r>
      <w:r>
        <w:rPr>
          <w:spacing w:val="-4"/>
        </w:rPr>
        <w:t xml:space="preserve">价款和价外费用，按照 </w:t>
      </w:r>
      <w:r>
        <w:rPr>
          <w:rFonts w:ascii="Calibri" w:eastAsia="Calibri"/>
        </w:rPr>
        <w:t>3%</w:t>
      </w:r>
      <w:r>
        <w:t>的预征率在不动产所在地预缴税款后，向机构所在地主管税务机关进行纳税申报。</w:t>
      </w:r>
    </w:p>
    <w:p>
      <w:pPr>
        <w:pStyle w:val="3"/>
        <w:spacing w:before="2" w:line="364" w:lineRule="auto"/>
        <w:ind w:right="1675"/>
      </w:pPr>
      <w:r>
        <w:rPr>
          <w:spacing w:val="-9"/>
        </w:rPr>
        <w:t xml:space="preserve">一般纳税人销售其 </w:t>
      </w:r>
      <w:r>
        <w:rPr>
          <w:rFonts w:ascii="Calibri" w:eastAsia="Calibri"/>
        </w:rPr>
        <w:t>2016</w:t>
      </w:r>
      <w:r>
        <w:rPr>
          <w:rFonts w:ascii="Calibri" w:eastAsia="Calibri"/>
          <w:spacing w:val="-13"/>
        </w:rPr>
        <w:t xml:space="preserve"> </w:t>
      </w:r>
      <w:r>
        <w:rPr>
          <w:spacing w:val="-38"/>
        </w:rPr>
        <w:t xml:space="preserve">年 </w:t>
      </w:r>
      <w:r>
        <w:rPr>
          <w:rFonts w:ascii="Calibri" w:eastAsia="Calibri"/>
        </w:rPr>
        <w:t>4</w:t>
      </w:r>
      <w:r>
        <w:rPr>
          <w:rFonts w:ascii="Calibri" w:eastAsia="Calibri"/>
          <w:spacing w:val="-11"/>
        </w:rPr>
        <w:t xml:space="preserve"> </w:t>
      </w:r>
      <w:r>
        <w:rPr>
          <w:spacing w:val="40"/>
        </w:rPr>
        <w:t>月</w:t>
      </w:r>
      <w:r>
        <w:rPr>
          <w:rFonts w:ascii="Calibri" w:eastAsia="Calibri"/>
        </w:rPr>
        <w:t>30</w:t>
      </w:r>
      <w:r>
        <w:rPr>
          <w:rFonts w:ascii="Calibri" w:eastAsia="Calibri"/>
          <w:spacing w:val="-12"/>
        </w:rPr>
        <w:t xml:space="preserve"> </w:t>
      </w:r>
      <w:r>
        <w:rPr>
          <w:spacing w:val="-12"/>
        </w:rPr>
        <w:t xml:space="preserve">日前自建的不动产，适用一般计税方法计税的， </w:t>
      </w:r>
      <w:r>
        <w:rPr>
          <w:spacing w:val="-4"/>
        </w:rPr>
        <w:t>应以取得的全部价款和价外费用为销售额计算应纳税额。纳税人应以取得的全部</w:t>
      </w:r>
      <w:r>
        <w:rPr>
          <w:spacing w:val="-9"/>
        </w:rPr>
        <w:t xml:space="preserve">价款和价外费用，按照 </w:t>
      </w:r>
      <w:r>
        <w:rPr>
          <w:rFonts w:ascii="Calibri" w:eastAsia="Calibri"/>
        </w:rPr>
        <w:t>5%</w:t>
      </w:r>
      <w:r>
        <w:t>的预征率在不动产所在地预缴税款后，向机构所在地主管税务机关进行纳税申报。</w:t>
      </w:r>
    </w:p>
    <w:p>
      <w:pPr>
        <w:pStyle w:val="3"/>
        <w:spacing w:before="3" w:line="364" w:lineRule="auto"/>
        <w:ind w:right="1705"/>
      </w:pPr>
      <w:r>
        <w:t>（十一</w:t>
      </w:r>
      <w:r>
        <w:rPr>
          <w:spacing w:val="-24"/>
        </w:rPr>
        <w:t>）</w:t>
      </w:r>
      <w:r>
        <w:rPr>
          <w:spacing w:val="-4"/>
        </w:rPr>
        <w:t>一般纳税人跨省</w:t>
      </w:r>
      <w:r>
        <w:rPr>
          <w:spacing w:val="-3"/>
        </w:rPr>
        <w:t>（</w:t>
      </w:r>
      <w:r>
        <w:rPr>
          <w:spacing w:val="-5"/>
        </w:rPr>
        <w:t>自治区、直辖市或者计划单列市</w:t>
      </w:r>
      <w:r>
        <w:rPr>
          <w:spacing w:val="-24"/>
        </w:rPr>
        <w:t>）</w:t>
      </w:r>
      <w:r>
        <w:t>提供建筑服务或者销售、出租取得的与机构所在地不在同一省（自治区、直辖市或者计划单列市</w:t>
      </w:r>
      <w:r>
        <w:rPr>
          <w:spacing w:val="-19"/>
        </w:rPr>
        <w:t xml:space="preserve">） </w:t>
      </w:r>
      <w:r>
        <w:rPr>
          <w:spacing w:val="-9"/>
        </w:rPr>
        <w:t>的不动产，在机构所在地申报纳税时，计算的应纳税额小于已预缴税额，且差额</w:t>
      </w:r>
      <w:r>
        <w:rPr>
          <w:spacing w:val="-10"/>
        </w:rPr>
        <w:t xml:space="preserve">较大的，由国家税务总局通知建筑服务发生地或者不动产所在地省级税务机关， </w:t>
      </w:r>
      <w:r>
        <w:t>在一定时期内暂停预缴增值税。</w:t>
      </w:r>
    </w:p>
    <w:p>
      <w:pPr>
        <w:pStyle w:val="3"/>
        <w:spacing w:before="3"/>
      </w:pPr>
      <w:r>
        <w:t>（十二）纳税地点。</w:t>
      </w:r>
    </w:p>
    <w:p>
      <w:pPr>
        <w:spacing w:after="0"/>
        <w:sectPr>
          <w:pgSz w:w="11910" w:h="16840"/>
          <w:pgMar w:top="1540" w:right="0" w:bottom="1380" w:left="0" w:header="965" w:footer="1182" w:gutter="0"/>
          <w:cols w:space="720" w:num="1"/>
        </w:sectPr>
      </w:pPr>
    </w:p>
    <w:p>
      <w:pPr>
        <w:pStyle w:val="3"/>
        <w:spacing w:before="2"/>
        <w:ind w:left="0"/>
        <w:rPr>
          <w:sz w:val="12"/>
        </w:rPr>
      </w:pPr>
    </w:p>
    <w:p>
      <w:pPr>
        <w:pStyle w:val="3"/>
        <w:spacing w:before="67" w:line="364" w:lineRule="auto"/>
        <w:ind w:right="1723"/>
        <w:jc w:val="both"/>
      </w:pPr>
      <w:r>
        <w:rPr>
          <w:spacing w:val="-1"/>
        </w:rPr>
        <w:t>属于固定业户的试点纳税人，总分支机构不在同一县</w:t>
      </w:r>
      <w:r>
        <w:rPr>
          <w:rFonts w:ascii="Calibri" w:eastAsia="Calibri"/>
        </w:rPr>
        <w:t>(</w:t>
      </w:r>
      <w:r>
        <w:t>市</w:t>
      </w:r>
      <w:r>
        <w:rPr>
          <w:rFonts w:ascii="Calibri" w:eastAsia="Calibri"/>
        </w:rPr>
        <w:t>)</w:t>
      </w:r>
      <w:r>
        <w:t>，但在同一省</w:t>
      </w:r>
      <w:r>
        <w:rPr>
          <w:rFonts w:ascii="Calibri" w:eastAsia="Calibri"/>
        </w:rPr>
        <w:t>(</w:t>
      </w:r>
      <w:r>
        <w:rPr>
          <w:spacing w:val="-4"/>
        </w:rPr>
        <w:t>自治区、</w:t>
      </w:r>
      <w:r>
        <w:t>直辖市、计划单列市</w:t>
      </w:r>
      <w:r>
        <w:rPr>
          <w:rFonts w:ascii="Calibri" w:eastAsia="Calibri"/>
        </w:rPr>
        <w:t>)</w:t>
      </w:r>
      <w:r>
        <w:t>范围内的，经省</w:t>
      </w:r>
      <w:r>
        <w:rPr>
          <w:rFonts w:ascii="Calibri" w:eastAsia="Calibri"/>
        </w:rPr>
        <w:t>(</w:t>
      </w:r>
      <w:r>
        <w:t>自治区、直辖市、计划单列市</w:t>
      </w:r>
      <w:r>
        <w:rPr>
          <w:rFonts w:ascii="Calibri" w:eastAsia="Calibri"/>
        </w:rPr>
        <w:t>)</w:t>
      </w:r>
      <w:r>
        <w:t>财政厅</w:t>
      </w:r>
      <w:r>
        <w:rPr>
          <w:rFonts w:ascii="Calibri" w:eastAsia="Calibri"/>
        </w:rPr>
        <w:t>(</w:t>
      </w:r>
      <w:r>
        <w:t>局</w:t>
      </w:r>
      <w:r>
        <w:rPr>
          <w:rFonts w:ascii="Calibri" w:eastAsia="Calibri"/>
        </w:rPr>
        <w:t xml:space="preserve">) </w:t>
      </w:r>
      <w:r>
        <w:rPr>
          <w:spacing w:val="-10"/>
        </w:rPr>
        <w:t>和国家税务局批准，可以由总机构汇总向总机构所在地的主管税务机关申报缴纳增值税。</w:t>
      </w:r>
    </w:p>
    <w:p>
      <w:pPr>
        <w:pStyle w:val="3"/>
        <w:spacing w:before="2"/>
      </w:pPr>
      <w:r>
        <w:t>（十三）试点前发生的业务。</w:t>
      </w:r>
    </w:p>
    <w:p>
      <w:pPr>
        <w:pStyle w:val="8"/>
        <w:numPr>
          <w:ilvl w:val="0"/>
          <w:numId w:val="70"/>
        </w:numPr>
        <w:tabs>
          <w:tab w:val="left" w:pos="1984"/>
        </w:tabs>
        <w:spacing w:before="161" w:after="0" w:line="364" w:lineRule="auto"/>
        <w:ind w:left="1800" w:right="1759" w:firstLine="0"/>
        <w:jc w:val="both"/>
        <w:rPr>
          <w:rFonts w:hint="eastAsia" w:ascii="宋体" w:eastAsia="宋体"/>
          <w:sz w:val="24"/>
        </w:rPr>
      </w:pPr>
      <w:r>
        <w:rPr>
          <w:rFonts w:hint="eastAsia" w:ascii="宋体" w:eastAsia="宋体"/>
          <w:spacing w:val="-1"/>
          <w:sz w:val="24"/>
        </w:rPr>
        <w:t xml:space="preserve">试点纳税人发生应税行为，按照国家有关营业税政策规定差额征收营业税的， </w:t>
      </w:r>
      <w:r>
        <w:rPr>
          <w:rFonts w:hint="eastAsia" w:ascii="宋体" w:eastAsia="宋体"/>
          <w:spacing w:val="-4"/>
          <w:sz w:val="24"/>
        </w:rPr>
        <w:t>因取得的全部价款和价外费用不足以抵减允许扣除项目金额，截至纳入营改增试</w:t>
      </w:r>
      <w:r>
        <w:rPr>
          <w:rFonts w:hint="eastAsia" w:ascii="宋体" w:eastAsia="宋体"/>
          <w:spacing w:val="-10"/>
          <w:sz w:val="24"/>
        </w:rPr>
        <w:t>点之日前尚未扣除的部分，不得在计算试点纳税人增值税应税销售额时抵减，应当向原主管地税机关申请退还营业税。</w:t>
      </w:r>
    </w:p>
    <w:p>
      <w:pPr>
        <w:pStyle w:val="8"/>
        <w:numPr>
          <w:ilvl w:val="0"/>
          <w:numId w:val="70"/>
        </w:numPr>
        <w:tabs>
          <w:tab w:val="left" w:pos="1984"/>
        </w:tabs>
        <w:spacing w:before="2" w:after="0" w:line="364" w:lineRule="auto"/>
        <w:ind w:left="1800" w:right="1795" w:firstLine="0"/>
        <w:jc w:val="both"/>
        <w:rPr>
          <w:rFonts w:hint="eastAsia" w:ascii="宋体" w:eastAsia="宋体"/>
          <w:sz w:val="24"/>
        </w:rPr>
      </w:pPr>
      <w:r>
        <w:pict>
          <v:shape id="_x0000_s1083" o:spid="_x0000_s1083" o:spt="136" type="#_x0000_t136" style="position:absolute;left:0pt;margin-left:41.25pt;margin-top:63.1pt;height:132pt;width:528.05pt;mso-position-horizontal-relative:page;rotation:20643840f;z-index:-251597824;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宋体" w:eastAsia="宋体"/>
          <w:spacing w:val="-5"/>
          <w:sz w:val="24"/>
        </w:rPr>
        <w:t>试点纳税人发生应税行为，在纳入营改增试点之日前已缴纳营业税，营改增试</w:t>
      </w:r>
      <w:r>
        <w:rPr>
          <w:rFonts w:hint="eastAsia" w:ascii="宋体" w:eastAsia="宋体"/>
          <w:sz w:val="24"/>
        </w:rPr>
        <w:t>点后因发生退款减除营业额的，应当向原主管地税机关申请退还已缴纳的营业税。</w:t>
      </w:r>
    </w:p>
    <w:p>
      <w:pPr>
        <w:pStyle w:val="8"/>
        <w:numPr>
          <w:ilvl w:val="0"/>
          <w:numId w:val="70"/>
        </w:numPr>
        <w:tabs>
          <w:tab w:val="left" w:pos="1984"/>
        </w:tabs>
        <w:spacing w:before="2" w:after="0" w:line="364" w:lineRule="auto"/>
        <w:ind w:left="1800" w:right="1797" w:firstLine="0"/>
        <w:jc w:val="left"/>
        <w:rPr>
          <w:rFonts w:hint="eastAsia" w:ascii="宋体" w:eastAsia="宋体"/>
          <w:sz w:val="24"/>
        </w:rPr>
      </w:pPr>
      <w:r>
        <w:rPr>
          <w:rFonts w:hint="eastAsia" w:ascii="宋体" w:eastAsia="宋体"/>
          <w:spacing w:val="-4"/>
          <w:sz w:val="24"/>
        </w:rPr>
        <w:t>试点纳税人纳入营改增试点之日前发生的应税行为，因税收检查等原因需要补</w:t>
      </w:r>
      <w:r>
        <w:rPr>
          <w:rFonts w:hint="eastAsia" w:ascii="宋体" w:eastAsia="宋体"/>
          <w:sz w:val="24"/>
        </w:rPr>
        <w:t>缴税款的，应按照营业税政策规定补缴营业税。</w:t>
      </w:r>
    </w:p>
    <w:p>
      <w:pPr>
        <w:pStyle w:val="3"/>
      </w:pPr>
      <w:r>
        <w:t>（十四）销售使用过的固定资产。</w:t>
      </w:r>
    </w:p>
    <w:p>
      <w:pPr>
        <w:pStyle w:val="3"/>
        <w:spacing w:before="161" w:line="364" w:lineRule="auto"/>
        <w:ind w:right="1797"/>
      </w:pPr>
      <w:r>
        <w:rPr>
          <w:spacing w:val="-7"/>
        </w:rPr>
        <w:t>一般纳税人销售自己使用过的、纳入营改增试点之日前取得的固定资产，按照现</w:t>
      </w:r>
      <w:r>
        <w:t>行旧货相关增值税政策执行。</w:t>
      </w:r>
    </w:p>
    <w:p>
      <w:pPr>
        <w:pStyle w:val="3"/>
        <w:spacing w:line="364" w:lineRule="auto"/>
        <w:ind w:right="1797"/>
      </w:pPr>
      <w:r>
        <w:rPr>
          <w:spacing w:val="-9"/>
        </w:rPr>
        <w:t>使用过的固定资产，是指纳税人符合《试点实施办法》第二十八条规定并根据财</w:t>
      </w:r>
      <w:r>
        <w:t>务会计制度已经计提折旧的固定资产。</w:t>
      </w:r>
    </w:p>
    <w:p>
      <w:pPr>
        <w:pStyle w:val="3"/>
      </w:pPr>
      <w:r>
        <w:t>（十五）扣缴增值税适用税率。</w:t>
      </w:r>
    </w:p>
    <w:p>
      <w:pPr>
        <w:pStyle w:val="3"/>
        <w:spacing w:before="161"/>
      </w:pPr>
      <w:r>
        <w:t>境内的购买方为境外单位和个人扣缴增值税的，按照适用税率扣缴增值税。</w:t>
      </w:r>
    </w:p>
    <w:p>
      <w:pPr>
        <w:pStyle w:val="3"/>
        <w:spacing w:before="160"/>
      </w:pPr>
      <w:r>
        <w:t>（十六）其他规定。</w:t>
      </w:r>
    </w:p>
    <w:p>
      <w:pPr>
        <w:pStyle w:val="8"/>
        <w:numPr>
          <w:ilvl w:val="0"/>
          <w:numId w:val="71"/>
        </w:numPr>
        <w:tabs>
          <w:tab w:val="left" w:pos="1984"/>
        </w:tabs>
        <w:spacing w:before="161" w:after="0" w:line="364" w:lineRule="auto"/>
        <w:ind w:left="1800" w:right="1795" w:firstLine="0"/>
        <w:jc w:val="both"/>
        <w:rPr>
          <w:rFonts w:hint="eastAsia" w:ascii="宋体" w:eastAsia="宋体"/>
          <w:sz w:val="24"/>
        </w:rPr>
      </w:pPr>
      <w:r>
        <w:rPr>
          <w:rFonts w:hint="eastAsia" w:ascii="宋体" w:eastAsia="宋体"/>
          <w:spacing w:val="-4"/>
          <w:sz w:val="24"/>
        </w:rPr>
        <w:t>试点纳税人销售电信服务时，附带赠送用户识别卡、电信终端等货物或者电信</w:t>
      </w:r>
      <w:r>
        <w:rPr>
          <w:rFonts w:hint="eastAsia" w:ascii="宋体" w:eastAsia="宋体"/>
          <w:spacing w:val="-10"/>
          <w:sz w:val="24"/>
        </w:rPr>
        <w:t>服务的，应将其取得的全部价款和价外费用进行分别核算，按各自适用的税率计</w:t>
      </w:r>
      <w:r>
        <w:rPr>
          <w:rFonts w:hint="eastAsia" w:ascii="宋体" w:eastAsia="宋体"/>
          <w:sz w:val="24"/>
        </w:rPr>
        <w:t>算缴纳增值税。</w:t>
      </w:r>
    </w:p>
    <w:p>
      <w:pPr>
        <w:pStyle w:val="8"/>
        <w:numPr>
          <w:ilvl w:val="0"/>
          <w:numId w:val="71"/>
        </w:numPr>
        <w:tabs>
          <w:tab w:val="left" w:pos="1984"/>
        </w:tabs>
        <w:spacing w:before="1" w:after="0" w:line="364" w:lineRule="auto"/>
        <w:ind w:left="1800" w:right="1795" w:firstLine="0"/>
        <w:jc w:val="both"/>
        <w:rPr>
          <w:rFonts w:hint="eastAsia" w:ascii="宋体" w:eastAsia="宋体"/>
          <w:sz w:val="24"/>
        </w:rPr>
      </w:pPr>
      <w:r>
        <w:rPr>
          <w:rFonts w:hint="eastAsia" w:ascii="宋体" w:eastAsia="宋体"/>
          <w:spacing w:val="-6"/>
          <w:sz w:val="24"/>
        </w:rPr>
        <w:t>油气田企业发生应税行为，适用《试点实施办法》规定的增值税税率，不再适</w:t>
      </w:r>
      <w:r>
        <w:rPr>
          <w:rFonts w:hint="eastAsia" w:ascii="宋体" w:eastAsia="宋体"/>
          <w:spacing w:val="-8"/>
          <w:sz w:val="24"/>
        </w:rPr>
        <w:t>用《财政部国家税务总局关于印发〈油气田企业增值税管理办法〉的通知》</w:t>
      </w:r>
      <w:r>
        <w:rPr>
          <w:rFonts w:hint="eastAsia" w:ascii="宋体" w:eastAsia="宋体"/>
          <w:sz w:val="24"/>
        </w:rPr>
        <w:t>（</w:t>
      </w:r>
      <w:r>
        <w:rPr>
          <w:rFonts w:hint="eastAsia" w:ascii="宋体" w:eastAsia="宋体"/>
          <w:spacing w:val="-12"/>
          <w:sz w:val="24"/>
        </w:rPr>
        <w:t>财</w:t>
      </w:r>
      <w:r>
        <w:rPr>
          <w:rFonts w:hint="eastAsia" w:ascii="宋体" w:eastAsia="宋体"/>
          <w:sz w:val="24"/>
        </w:rPr>
        <w:t>税〔</w:t>
      </w:r>
      <w:r>
        <w:rPr>
          <w:rFonts w:ascii="Calibri" w:eastAsia="Calibri"/>
          <w:sz w:val="24"/>
        </w:rPr>
        <w:t>2009</w:t>
      </w:r>
      <w:r>
        <w:rPr>
          <w:rFonts w:hint="eastAsia" w:ascii="宋体" w:eastAsia="宋体"/>
          <w:sz w:val="24"/>
        </w:rPr>
        <w:t>〕</w:t>
      </w:r>
      <w:r>
        <w:rPr>
          <w:rFonts w:ascii="Calibri" w:eastAsia="Calibri"/>
          <w:sz w:val="24"/>
        </w:rPr>
        <w:t>8</w:t>
      </w:r>
      <w:r>
        <w:rPr>
          <w:rFonts w:ascii="Calibri" w:eastAsia="Calibri"/>
          <w:spacing w:val="5"/>
          <w:sz w:val="24"/>
        </w:rPr>
        <w:t xml:space="preserve"> </w:t>
      </w:r>
      <w:r>
        <w:rPr>
          <w:rFonts w:hint="eastAsia" w:ascii="宋体" w:eastAsia="宋体"/>
          <w:sz w:val="24"/>
        </w:rPr>
        <w:t>号）规定的增值税税率。</w:t>
      </w:r>
    </w:p>
    <w:p>
      <w:pPr>
        <w:pStyle w:val="3"/>
        <w:spacing w:before="2"/>
      </w:pPr>
      <w:r>
        <w:t>二、原增值税纳税人</w:t>
      </w:r>
      <w:r>
        <w:rPr>
          <w:rFonts w:ascii="Calibri" w:eastAsia="Calibri"/>
        </w:rPr>
        <w:t>[</w:t>
      </w:r>
      <w:r>
        <w:t>指按照《中</w:t>
      </w:r>
      <w:r>
        <w:fldChar w:fldCharType="begin"/>
      </w:r>
      <w:r>
        <w:instrText xml:space="preserve"> HYPERLINK "http://www.waizi.org.cn/shuishounews/4475.html" \h </w:instrText>
      </w:r>
      <w:r>
        <w:fldChar w:fldCharType="separate"/>
      </w:r>
      <w:r>
        <w:t>华人民共和国增值税暂行条例</w:t>
      </w:r>
      <w:r>
        <w:fldChar w:fldCharType="end"/>
      </w:r>
      <w:r>
        <w:t>》（</w:t>
      </w:r>
      <w:r>
        <w:fldChar w:fldCharType="begin"/>
      </w:r>
      <w:r>
        <w:instrText xml:space="preserve"> HYPERLINK "http://www.waizi.org.cn/law/9789.html" \h </w:instrText>
      </w:r>
      <w:r>
        <w:fldChar w:fldCharType="separate"/>
      </w:r>
      <w:r>
        <w:t>国务院令第</w:t>
      </w:r>
      <w:r>
        <w:fldChar w:fldCharType="end"/>
      </w:r>
    </w:p>
    <w:p>
      <w:pPr>
        <w:spacing w:after="0"/>
        <w:sectPr>
          <w:pgSz w:w="11910" w:h="16840"/>
          <w:pgMar w:top="1540" w:right="0" w:bottom="1380" w:left="0" w:header="965" w:footer="1182" w:gutter="0"/>
          <w:cols w:space="720" w:num="1"/>
        </w:sectPr>
      </w:pPr>
    </w:p>
    <w:p>
      <w:pPr>
        <w:pStyle w:val="3"/>
        <w:spacing w:before="2"/>
        <w:ind w:left="0"/>
        <w:rPr>
          <w:sz w:val="12"/>
        </w:rPr>
      </w:pPr>
    </w:p>
    <w:p>
      <w:pPr>
        <w:pStyle w:val="3"/>
        <w:spacing w:before="67"/>
      </w:pPr>
      <w:r>
        <w:fldChar w:fldCharType="begin"/>
      </w:r>
      <w:r>
        <w:instrText xml:space="preserve"> HYPERLINK "http://www.waizi.org.cn/law/9789.html" \h </w:instrText>
      </w:r>
      <w:r>
        <w:fldChar w:fldCharType="separate"/>
      </w:r>
      <w:r>
        <w:rPr>
          <w:rFonts w:ascii="Calibri" w:eastAsia="Calibri"/>
        </w:rPr>
        <w:t xml:space="preserve">538 </w:t>
      </w:r>
      <w:r>
        <w:rPr>
          <w:rFonts w:ascii="Calibri" w:eastAsia="Calibri"/>
        </w:rPr>
        <w:fldChar w:fldCharType="end"/>
      </w:r>
      <w:r>
        <w:t>号）</w:t>
      </w:r>
      <w:r>
        <w:rPr>
          <w:rFonts w:ascii="Calibri" w:eastAsia="Calibri"/>
        </w:rPr>
        <w:t>(</w:t>
      </w:r>
      <w:r>
        <w:t>以下称《增值税暂行条例》</w:t>
      </w:r>
      <w:r>
        <w:rPr>
          <w:rFonts w:ascii="Calibri" w:eastAsia="Calibri"/>
        </w:rPr>
        <w:t>)</w:t>
      </w:r>
      <w:r>
        <w:t>缴纳增值税的纳税人</w:t>
      </w:r>
      <w:r>
        <w:rPr>
          <w:rFonts w:ascii="Calibri" w:eastAsia="Calibri"/>
        </w:rPr>
        <w:t>]</w:t>
      </w:r>
      <w:r>
        <w:t>有关政策</w:t>
      </w:r>
    </w:p>
    <w:p>
      <w:pPr>
        <w:pStyle w:val="3"/>
        <w:spacing w:before="160"/>
      </w:pPr>
      <w:r>
        <w:t>（一）进项税额。</w:t>
      </w:r>
    </w:p>
    <w:p>
      <w:pPr>
        <w:pStyle w:val="8"/>
        <w:numPr>
          <w:ilvl w:val="0"/>
          <w:numId w:val="72"/>
        </w:numPr>
        <w:tabs>
          <w:tab w:val="left" w:pos="1984"/>
        </w:tabs>
        <w:spacing w:before="161" w:after="0" w:line="364" w:lineRule="auto"/>
        <w:ind w:left="1800" w:right="1795" w:firstLine="0"/>
        <w:jc w:val="left"/>
        <w:rPr>
          <w:rFonts w:hint="eastAsia" w:ascii="宋体" w:eastAsia="宋体"/>
          <w:sz w:val="24"/>
        </w:rPr>
      </w:pPr>
      <w:r>
        <w:rPr>
          <w:rFonts w:hint="eastAsia" w:ascii="宋体" w:eastAsia="宋体"/>
          <w:spacing w:val="-4"/>
          <w:sz w:val="24"/>
        </w:rPr>
        <w:t>原增值税一般纳税人购进服务、无形资产或者不动产，取得的增值税专用发票</w:t>
      </w:r>
      <w:r>
        <w:rPr>
          <w:rFonts w:hint="eastAsia" w:ascii="宋体" w:eastAsia="宋体"/>
          <w:sz w:val="24"/>
        </w:rPr>
        <w:t>上注明的增值税额为进项税额，准予从销项税额中抵扣。</w:t>
      </w:r>
    </w:p>
    <w:p>
      <w:pPr>
        <w:pStyle w:val="3"/>
        <w:rPr>
          <w:rFonts w:ascii="Calibri" w:eastAsia="Calibri"/>
        </w:rPr>
      </w:pPr>
      <w:r>
        <w:rPr>
          <w:rFonts w:ascii="Calibri" w:eastAsia="Calibri"/>
        </w:rPr>
        <w:t xml:space="preserve">2016 </w:t>
      </w:r>
      <w:r>
        <w:t xml:space="preserve">年 </w:t>
      </w:r>
      <w:r>
        <w:rPr>
          <w:rFonts w:ascii="Calibri" w:eastAsia="Calibri"/>
        </w:rPr>
        <w:t xml:space="preserve">5 </w:t>
      </w:r>
      <w:r>
        <w:t xml:space="preserve">月 </w:t>
      </w:r>
      <w:r>
        <w:rPr>
          <w:rFonts w:ascii="Calibri" w:eastAsia="Calibri"/>
        </w:rPr>
        <w:t xml:space="preserve">1 </w:t>
      </w:r>
      <w:r>
        <w:t xml:space="preserve">日后取得并在会计制度上按固定资产核算的不动产或者 </w:t>
      </w:r>
      <w:r>
        <w:rPr>
          <w:rFonts w:ascii="Calibri" w:eastAsia="Calibri"/>
        </w:rPr>
        <w:t xml:space="preserve">2016 </w:t>
      </w:r>
      <w:r>
        <w:t xml:space="preserve">年 </w:t>
      </w:r>
      <w:r>
        <w:rPr>
          <w:rFonts w:ascii="Calibri" w:eastAsia="Calibri"/>
        </w:rPr>
        <w:t>5</w:t>
      </w:r>
    </w:p>
    <w:p>
      <w:pPr>
        <w:pStyle w:val="3"/>
        <w:spacing w:before="161" w:line="364" w:lineRule="auto"/>
        <w:ind w:right="1797"/>
      </w:pPr>
      <w:r>
        <w:rPr>
          <w:spacing w:val="-30"/>
        </w:rPr>
        <w:t xml:space="preserve">月 </w:t>
      </w:r>
      <w:r>
        <w:rPr>
          <w:rFonts w:ascii="Calibri" w:eastAsia="Calibri"/>
        </w:rPr>
        <w:t xml:space="preserve">1 </w:t>
      </w:r>
      <w:r>
        <w:rPr>
          <w:spacing w:val="-10"/>
        </w:rPr>
        <w:t xml:space="preserve">日后取得的不动产在建工程，其进项税额应自取得之日起分 </w:t>
      </w:r>
      <w:r>
        <w:rPr>
          <w:rFonts w:ascii="Calibri" w:eastAsia="Calibri"/>
        </w:rPr>
        <w:t xml:space="preserve">2 </w:t>
      </w:r>
      <w:r>
        <w:rPr>
          <w:spacing w:val="-3"/>
        </w:rPr>
        <w:t>年从销项税额</w:t>
      </w:r>
      <w:r>
        <w:rPr>
          <w:spacing w:val="-5"/>
        </w:rPr>
        <w:t xml:space="preserve">中抵扣，第一年抵扣比例为 </w:t>
      </w:r>
      <w:r>
        <w:rPr>
          <w:rFonts w:ascii="Calibri" w:eastAsia="Calibri"/>
        </w:rPr>
        <w:t>60%</w:t>
      </w:r>
      <w:r>
        <w:rPr>
          <w:spacing w:val="-6"/>
        </w:rPr>
        <w:t xml:space="preserve">，第二年抵扣比例为 </w:t>
      </w:r>
      <w:r>
        <w:rPr>
          <w:rFonts w:ascii="Calibri" w:eastAsia="Calibri"/>
        </w:rPr>
        <w:t>40%</w:t>
      </w:r>
      <w:r>
        <w:t>。</w:t>
      </w:r>
    </w:p>
    <w:p>
      <w:pPr>
        <w:pStyle w:val="3"/>
        <w:spacing w:line="364" w:lineRule="auto"/>
        <w:ind w:right="1797"/>
      </w:pPr>
      <w:r>
        <w:rPr>
          <w:spacing w:val="-5"/>
        </w:rPr>
        <w:t>融资租入的不动产以及在施工现场修建的临时建筑物、构筑物，其进项税额不适</w:t>
      </w:r>
      <w:r>
        <w:rPr>
          <w:spacing w:val="-12"/>
        </w:rPr>
        <w:t xml:space="preserve">用上述分 </w:t>
      </w:r>
      <w:r>
        <w:rPr>
          <w:rFonts w:ascii="Calibri" w:eastAsia="Calibri"/>
        </w:rPr>
        <w:t xml:space="preserve">2 </w:t>
      </w:r>
      <w:r>
        <w:t>年抵扣的规定。</w:t>
      </w:r>
    </w:p>
    <w:p>
      <w:pPr>
        <w:pStyle w:val="8"/>
        <w:numPr>
          <w:ilvl w:val="0"/>
          <w:numId w:val="72"/>
        </w:numPr>
        <w:tabs>
          <w:tab w:val="left" w:pos="1984"/>
        </w:tabs>
        <w:spacing w:before="1" w:after="0" w:line="364" w:lineRule="auto"/>
        <w:ind w:left="1800" w:right="1795" w:firstLine="0"/>
        <w:jc w:val="left"/>
        <w:rPr>
          <w:rFonts w:hint="eastAsia" w:ascii="宋体" w:eastAsia="宋体"/>
          <w:sz w:val="24"/>
        </w:rPr>
      </w:pPr>
      <w:r>
        <w:rPr>
          <w:rFonts w:hint="eastAsia" w:ascii="宋体" w:eastAsia="宋体"/>
          <w:spacing w:val="-4"/>
          <w:sz w:val="24"/>
        </w:rPr>
        <w:t>原增值税一般纳税人自用的应征消费税的摩托车、汽车、游艇，其进项税额准</w:t>
      </w:r>
      <w:r>
        <w:rPr>
          <w:rFonts w:hint="eastAsia" w:ascii="宋体" w:eastAsia="宋体"/>
          <w:sz w:val="24"/>
        </w:rPr>
        <w:t>予从销项税额中抵扣。</w:t>
      </w:r>
    </w:p>
    <w:p>
      <w:pPr>
        <w:pStyle w:val="8"/>
        <w:numPr>
          <w:ilvl w:val="0"/>
          <w:numId w:val="72"/>
        </w:numPr>
        <w:tabs>
          <w:tab w:val="left" w:pos="1984"/>
        </w:tabs>
        <w:spacing w:before="1" w:after="0" w:line="364" w:lineRule="auto"/>
        <w:ind w:left="1800" w:right="1795" w:firstLine="0"/>
        <w:jc w:val="both"/>
        <w:rPr>
          <w:rFonts w:hint="eastAsia" w:ascii="宋体" w:eastAsia="宋体"/>
          <w:sz w:val="24"/>
        </w:rPr>
      </w:pPr>
      <w:r>
        <w:pict>
          <v:shape id="_x0000_s1084" o:spid="_x0000_s1084" o:spt="136" type="#_x0000_t136" style="position:absolute;left:0pt;margin-left:41.25pt;margin-top:16.25pt;height:132pt;width:528.05pt;mso-position-horizontal-relative:page;rotation:20643840f;z-index:-251596800;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宋体" w:eastAsia="宋体"/>
          <w:spacing w:val="-3"/>
          <w:sz w:val="24"/>
        </w:rPr>
        <w:t>原增值税一般纳税人从境外单位或者个人购进服务、无形资产或者不动产，按</w:t>
      </w:r>
      <w:r>
        <w:rPr>
          <w:rFonts w:hint="eastAsia" w:ascii="宋体" w:eastAsia="宋体"/>
          <w:spacing w:val="-9"/>
          <w:sz w:val="24"/>
        </w:rPr>
        <w:t>照规定应当扣缴增值税的，准予从销项税额中抵扣的进项税额为自税务机关或者</w:t>
      </w:r>
      <w:r>
        <w:rPr>
          <w:rFonts w:hint="eastAsia" w:ascii="宋体" w:eastAsia="宋体"/>
          <w:sz w:val="24"/>
        </w:rPr>
        <w:t>扣缴义务人取得的解缴税款的完税凭证上注明的增值税额。</w:t>
      </w:r>
    </w:p>
    <w:p>
      <w:pPr>
        <w:pStyle w:val="3"/>
        <w:spacing w:before="2" w:line="364" w:lineRule="auto"/>
        <w:ind w:right="1797"/>
      </w:pPr>
      <w:r>
        <w:rPr>
          <w:spacing w:val="-6"/>
        </w:rPr>
        <w:t>纳税人凭完税凭证抵扣进项税额的，应当具备书面合同、付款证明和境外单位的</w:t>
      </w:r>
      <w:r>
        <w:t>对账单或者发票。资料不全的，其进项税额不得从销项税额中抵扣。</w:t>
      </w:r>
    </w:p>
    <w:p>
      <w:pPr>
        <w:pStyle w:val="8"/>
        <w:numPr>
          <w:ilvl w:val="0"/>
          <w:numId w:val="72"/>
        </w:numPr>
        <w:tabs>
          <w:tab w:val="left" w:pos="1984"/>
        </w:tabs>
        <w:spacing w:before="1" w:after="0" w:line="364" w:lineRule="auto"/>
        <w:ind w:left="1800" w:right="1759" w:firstLine="0"/>
        <w:jc w:val="both"/>
        <w:rPr>
          <w:rFonts w:hint="eastAsia" w:ascii="宋体" w:eastAsia="宋体"/>
          <w:sz w:val="24"/>
        </w:rPr>
      </w:pPr>
      <w:r>
        <w:rPr>
          <w:rFonts w:hint="eastAsia" w:ascii="宋体" w:eastAsia="宋体"/>
          <w:spacing w:val="-1"/>
          <w:sz w:val="24"/>
        </w:rPr>
        <w:t>原增值税一般纳税人购进货物或者接受加工修理修配劳务，用于《</w:t>
      </w:r>
      <w:r>
        <w:fldChar w:fldCharType="begin"/>
      </w:r>
      <w:r>
        <w:instrText xml:space="preserve"> HYPERLINK "http://www.waizi.org.cn/law/9777.html" \h </w:instrText>
      </w:r>
      <w:r>
        <w:fldChar w:fldCharType="separate"/>
      </w:r>
      <w:r>
        <w:rPr>
          <w:rFonts w:hint="eastAsia" w:ascii="宋体" w:eastAsia="宋体"/>
          <w:spacing w:val="-4"/>
          <w:sz w:val="24"/>
        </w:rPr>
        <w:t>销售服务、</w:t>
      </w:r>
      <w:r>
        <w:rPr>
          <w:rFonts w:hint="eastAsia" w:ascii="宋体" w:eastAsia="宋体"/>
          <w:spacing w:val="-4"/>
          <w:sz w:val="24"/>
        </w:rPr>
        <w:fldChar w:fldCharType="end"/>
      </w:r>
      <w:r>
        <w:rPr>
          <w:rFonts w:hint="eastAsia" w:ascii="宋体" w:eastAsia="宋体"/>
          <w:spacing w:val="-9"/>
          <w:sz w:val="24"/>
        </w:rPr>
        <w:t>无形资产、不动产注释》所列项目的，不属于《增值税暂行条例》第十条所称的用于非增值税应税项目，其进项税额准予从销项税额中抵扣。</w:t>
      </w:r>
    </w:p>
    <w:p>
      <w:pPr>
        <w:pStyle w:val="8"/>
        <w:numPr>
          <w:ilvl w:val="0"/>
          <w:numId w:val="72"/>
        </w:numPr>
        <w:tabs>
          <w:tab w:val="left" w:pos="1984"/>
        </w:tabs>
        <w:spacing w:before="2" w:after="0" w:line="364" w:lineRule="auto"/>
        <w:ind w:left="1800" w:right="1795" w:firstLine="0"/>
        <w:jc w:val="left"/>
        <w:rPr>
          <w:rFonts w:hint="eastAsia" w:ascii="宋体" w:eastAsia="宋体"/>
          <w:sz w:val="24"/>
        </w:rPr>
      </w:pPr>
      <w:r>
        <w:rPr>
          <w:rFonts w:hint="eastAsia" w:ascii="宋体" w:eastAsia="宋体"/>
          <w:spacing w:val="-4"/>
          <w:sz w:val="24"/>
        </w:rPr>
        <w:t>原增值税一般纳税人购进服务、无形资产或者不动产，下列项目的进项税额不</w:t>
      </w:r>
      <w:r>
        <w:rPr>
          <w:rFonts w:hint="eastAsia" w:ascii="宋体" w:eastAsia="宋体"/>
          <w:sz w:val="24"/>
        </w:rPr>
        <w:t>得从销项税额中抵扣：</w:t>
      </w:r>
    </w:p>
    <w:p>
      <w:pPr>
        <w:pStyle w:val="8"/>
        <w:numPr>
          <w:ilvl w:val="0"/>
          <w:numId w:val="73"/>
        </w:numPr>
        <w:tabs>
          <w:tab w:val="left" w:pos="2404"/>
        </w:tabs>
        <w:spacing w:before="1" w:after="0" w:line="364" w:lineRule="auto"/>
        <w:ind w:left="1800" w:right="1797" w:firstLine="0"/>
        <w:jc w:val="both"/>
        <w:rPr>
          <w:rFonts w:hint="eastAsia" w:ascii="宋体" w:eastAsia="宋体"/>
          <w:sz w:val="24"/>
        </w:rPr>
      </w:pPr>
      <w:r>
        <w:rPr>
          <w:rFonts w:hint="eastAsia" w:ascii="宋体" w:eastAsia="宋体"/>
          <w:spacing w:val="-1"/>
          <w:sz w:val="24"/>
        </w:rPr>
        <w:t>用于简易计税方法计税项目、免征增值税项目、集体福利或者个人消费。</w:t>
      </w:r>
      <w:r>
        <w:rPr>
          <w:rFonts w:hint="eastAsia" w:ascii="宋体" w:eastAsia="宋体"/>
          <w:spacing w:val="-7"/>
          <w:sz w:val="24"/>
        </w:rPr>
        <w:t>其中涉及的无形资产、不动产，仅指专用于上述项目的无形资产</w:t>
      </w:r>
      <w:r>
        <w:rPr>
          <w:rFonts w:hint="eastAsia" w:ascii="宋体" w:eastAsia="宋体"/>
          <w:sz w:val="24"/>
        </w:rPr>
        <w:t>（</w:t>
      </w:r>
      <w:r>
        <w:rPr>
          <w:rFonts w:hint="eastAsia" w:ascii="宋体" w:eastAsia="宋体"/>
          <w:spacing w:val="-3"/>
          <w:sz w:val="24"/>
        </w:rPr>
        <w:t>不包括其他权</w:t>
      </w:r>
      <w:r>
        <w:rPr>
          <w:rFonts w:hint="eastAsia" w:ascii="宋体" w:eastAsia="宋体"/>
          <w:sz w:val="24"/>
        </w:rPr>
        <w:t>益性无形资产）、不动产。</w:t>
      </w:r>
    </w:p>
    <w:p>
      <w:pPr>
        <w:pStyle w:val="3"/>
        <w:spacing w:before="2"/>
      </w:pPr>
      <w:r>
        <w:t>纳税人的交际应酬消费属于个人消费。</w:t>
      </w:r>
    </w:p>
    <w:p>
      <w:pPr>
        <w:pStyle w:val="8"/>
        <w:numPr>
          <w:ilvl w:val="0"/>
          <w:numId w:val="73"/>
        </w:numPr>
        <w:tabs>
          <w:tab w:val="left" w:pos="2401"/>
        </w:tabs>
        <w:spacing w:before="160" w:after="0" w:line="240" w:lineRule="auto"/>
        <w:ind w:left="2401" w:right="0" w:hanging="601"/>
        <w:jc w:val="left"/>
        <w:rPr>
          <w:rFonts w:hint="eastAsia" w:ascii="宋体" w:eastAsia="宋体"/>
          <w:sz w:val="24"/>
        </w:rPr>
      </w:pPr>
      <w:r>
        <w:rPr>
          <w:rFonts w:hint="eastAsia" w:ascii="宋体" w:eastAsia="宋体"/>
          <w:sz w:val="24"/>
        </w:rPr>
        <w:t>非正常损失的购进货物，以及相关的加工修理修配劳务和交通运输服务。</w:t>
      </w:r>
    </w:p>
    <w:p>
      <w:pPr>
        <w:pStyle w:val="8"/>
        <w:numPr>
          <w:ilvl w:val="0"/>
          <w:numId w:val="73"/>
        </w:numPr>
        <w:tabs>
          <w:tab w:val="left" w:pos="2404"/>
        </w:tabs>
        <w:spacing w:before="161" w:after="0" w:line="364" w:lineRule="auto"/>
        <w:ind w:left="1800" w:right="1797" w:firstLine="0"/>
        <w:jc w:val="left"/>
        <w:rPr>
          <w:rFonts w:hint="eastAsia" w:ascii="宋体" w:eastAsia="宋体"/>
          <w:sz w:val="24"/>
        </w:rPr>
      </w:pPr>
      <w:r>
        <w:rPr>
          <w:rFonts w:hint="eastAsia" w:ascii="宋体" w:eastAsia="宋体"/>
          <w:sz w:val="24"/>
        </w:rPr>
        <w:t>非正常损失的在产品、产成品所耗用的购进货物（不包括固定资产）</w:t>
      </w:r>
      <w:r>
        <w:rPr>
          <w:rFonts w:hint="eastAsia" w:ascii="宋体" w:eastAsia="宋体"/>
          <w:spacing w:val="-7"/>
          <w:sz w:val="24"/>
        </w:rPr>
        <w:t>、加</w:t>
      </w:r>
      <w:r>
        <w:rPr>
          <w:rFonts w:hint="eastAsia" w:ascii="宋体" w:eastAsia="宋体"/>
          <w:sz w:val="24"/>
        </w:rPr>
        <w:t>工修理修配劳务和交通运输服务。</w:t>
      </w:r>
    </w:p>
    <w:p>
      <w:pPr>
        <w:pStyle w:val="8"/>
        <w:numPr>
          <w:ilvl w:val="0"/>
          <w:numId w:val="73"/>
        </w:numPr>
        <w:tabs>
          <w:tab w:val="left" w:pos="2404"/>
        </w:tabs>
        <w:spacing w:before="1" w:after="0" w:line="240" w:lineRule="auto"/>
        <w:ind w:left="2403" w:right="0" w:hanging="604"/>
        <w:jc w:val="left"/>
        <w:rPr>
          <w:rFonts w:hint="eastAsia" w:ascii="宋体" w:eastAsia="宋体"/>
          <w:sz w:val="24"/>
        </w:rPr>
      </w:pPr>
      <w:r>
        <w:rPr>
          <w:rFonts w:hint="eastAsia" w:ascii="宋体" w:eastAsia="宋体"/>
          <w:sz w:val="24"/>
        </w:rPr>
        <w:t>非正常损失的不动产，以及该不动产所耗用的购进货物、设计服务和建筑</w:t>
      </w:r>
    </w:p>
    <w:p>
      <w:pPr>
        <w:spacing w:after="0" w:line="240" w:lineRule="auto"/>
        <w:jc w:val="left"/>
        <w:rPr>
          <w:rFonts w:hint="eastAsia" w:ascii="宋体" w:eastAsia="宋体"/>
          <w:sz w:val="24"/>
        </w:rPr>
        <w:sectPr>
          <w:pgSz w:w="11910" w:h="16840"/>
          <w:pgMar w:top="1540" w:right="0" w:bottom="1380" w:left="0" w:header="965" w:footer="1182" w:gutter="0"/>
          <w:cols w:space="720" w:num="1"/>
        </w:sectPr>
      </w:pPr>
    </w:p>
    <w:p>
      <w:pPr>
        <w:pStyle w:val="3"/>
        <w:spacing w:before="2"/>
        <w:ind w:left="0"/>
        <w:rPr>
          <w:sz w:val="12"/>
        </w:rPr>
      </w:pPr>
    </w:p>
    <w:p>
      <w:pPr>
        <w:pStyle w:val="3"/>
        <w:spacing w:before="67"/>
      </w:pPr>
      <w:r>
        <w:t>服务。</w:t>
      </w:r>
    </w:p>
    <w:p>
      <w:pPr>
        <w:pStyle w:val="8"/>
        <w:numPr>
          <w:ilvl w:val="0"/>
          <w:numId w:val="73"/>
        </w:numPr>
        <w:tabs>
          <w:tab w:val="left" w:pos="2401"/>
        </w:tabs>
        <w:spacing w:before="160" w:after="0" w:line="364" w:lineRule="auto"/>
        <w:ind w:left="1800" w:right="1825" w:firstLine="0"/>
        <w:jc w:val="left"/>
        <w:rPr>
          <w:rFonts w:hint="eastAsia" w:ascii="宋体" w:eastAsia="宋体"/>
          <w:sz w:val="24"/>
        </w:rPr>
      </w:pPr>
      <w:r>
        <w:rPr>
          <w:rFonts w:hint="eastAsia" w:ascii="宋体" w:eastAsia="宋体"/>
          <w:spacing w:val="-1"/>
          <w:sz w:val="24"/>
        </w:rPr>
        <w:t>非正常损失的不动产在建工程所耗用的购进货物、设计服务和建筑服务。</w:t>
      </w:r>
      <w:r>
        <w:rPr>
          <w:rFonts w:hint="eastAsia" w:ascii="宋体" w:eastAsia="宋体"/>
          <w:sz w:val="24"/>
        </w:rPr>
        <w:t>纳税人新建、改建、扩建、修缮、装饰不动产，均属于不动产在建工程。</w:t>
      </w:r>
    </w:p>
    <w:p>
      <w:pPr>
        <w:pStyle w:val="8"/>
        <w:numPr>
          <w:ilvl w:val="0"/>
          <w:numId w:val="73"/>
        </w:numPr>
        <w:tabs>
          <w:tab w:val="left" w:pos="2401"/>
        </w:tabs>
        <w:spacing w:before="2" w:after="0" w:line="240" w:lineRule="auto"/>
        <w:ind w:left="2401" w:right="0" w:hanging="601"/>
        <w:jc w:val="left"/>
        <w:rPr>
          <w:rFonts w:hint="eastAsia" w:ascii="宋体" w:eastAsia="宋体"/>
          <w:sz w:val="24"/>
        </w:rPr>
      </w:pPr>
      <w:r>
        <w:rPr>
          <w:rFonts w:hint="eastAsia" w:ascii="宋体" w:eastAsia="宋体"/>
          <w:sz w:val="24"/>
        </w:rPr>
        <w:t>购进的旅客运输服务、贷款服务、餐饮服务、居民日常服务和娱乐服务。</w:t>
      </w:r>
    </w:p>
    <w:p>
      <w:pPr>
        <w:pStyle w:val="8"/>
        <w:numPr>
          <w:ilvl w:val="0"/>
          <w:numId w:val="73"/>
        </w:numPr>
        <w:tabs>
          <w:tab w:val="left" w:pos="2401"/>
        </w:tabs>
        <w:spacing w:before="160" w:after="0" w:line="240" w:lineRule="auto"/>
        <w:ind w:left="2401" w:right="0" w:hanging="601"/>
        <w:jc w:val="left"/>
        <w:rPr>
          <w:rFonts w:hint="eastAsia" w:ascii="宋体" w:eastAsia="宋体"/>
          <w:sz w:val="24"/>
        </w:rPr>
      </w:pPr>
      <w:r>
        <w:rPr>
          <w:rFonts w:hint="eastAsia" w:ascii="宋体" w:eastAsia="宋体"/>
          <w:sz w:val="24"/>
        </w:rPr>
        <w:t>财政部和国家税务总局规定的其他情形。</w:t>
      </w:r>
    </w:p>
    <w:p>
      <w:pPr>
        <w:pStyle w:val="3"/>
        <w:spacing w:before="161" w:line="364" w:lineRule="auto"/>
        <w:ind w:right="1797"/>
        <w:jc w:val="both"/>
      </w:pPr>
      <w:r>
        <w:rPr>
          <w:spacing w:val="-4"/>
        </w:rPr>
        <w:t>上述第</w:t>
      </w:r>
      <w:r>
        <w:rPr>
          <w:spacing w:val="-6"/>
        </w:rPr>
        <w:t>（</w:t>
      </w:r>
      <w:r>
        <w:rPr>
          <w:rFonts w:ascii="Calibri" w:eastAsia="Calibri"/>
          <w:spacing w:val="-6"/>
        </w:rPr>
        <w:t>4</w:t>
      </w:r>
      <w:r>
        <w:rPr>
          <w:spacing w:val="-6"/>
        </w:rPr>
        <w:t>）</w:t>
      </w:r>
      <w:r>
        <w:rPr>
          <w:spacing w:val="-10"/>
        </w:rPr>
        <w:t>点、第</w:t>
      </w:r>
      <w:r>
        <w:rPr>
          <w:spacing w:val="-6"/>
        </w:rPr>
        <w:t>（</w:t>
      </w:r>
      <w:r>
        <w:rPr>
          <w:rFonts w:ascii="Calibri" w:eastAsia="Calibri"/>
          <w:spacing w:val="-6"/>
        </w:rPr>
        <w:t>5</w:t>
      </w:r>
      <w:r>
        <w:rPr>
          <w:spacing w:val="-6"/>
        </w:rPr>
        <w:t>）</w:t>
      </w:r>
      <w:r>
        <w:rPr>
          <w:spacing w:val="-4"/>
        </w:rPr>
        <w:t>点所称货物，是指构成不动产实体的材料和设备，包括</w:t>
      </w:r>
      <w:r>
        <w:rPr>
          <w:spacing w:val="-10"/>
        </w:rPr>
        <w:t>建筑装饰材料和给排水、采暖、卫生、通风、照明、通讯、煤气、消防、中央空</w:t>
      </w:r>
      <w:r>
        <w:t>调、电梯、电气、智能化楼宇设备及配套设施。</w:t>
      </w:r>
    </w:p>
    <w:p>
      <w:pPr>
        <w:pStyle w:val="3"/>
        <w:spacing w:line="364" w:lineRule="auto"/>
        <w:ind w:right="1797"/>
      </w:pPr>
      <w:r>
        <w:rPr>
          <w:spacing w:val="-4"/>
        </w:rPr>
        <w:t>纳税人接受贷款服务向贷款方支付的与该笔贷款直接相关的投融资顾问费、手续</w:t>
      </w:r>
      <w:r>
        <w:t>费、咨询费等费用，其进项税额不得从销项税额中抵扣。</w:t>
      </w:r>
    </w:p>
    <w:p>
      <w:pPr>
        <w:pStyle w:val="8"/>
        <w:numPr>
          <w:ilvl w:val="0"/>
          <w:numId w:val="72"/>
        </w:numPr>
        <w:tabs>
          <w:tab w:val="left" w:pos="1984"/>
        </w:tabs>
        <w:spacing w:before="2" w:after="0" w:line="364" w:lineRule="auto"/>
        <w:ind w:left="1800" w:right="1797" w:firstLine="0"/>
        <w:jc w:val="both"/>
        <w:rPr>
          <w:rFonts w:hint="eastAsia" w:ascii="宋体" w:eastAsia="宋体"/>
          <w:sz w:val="24"/>
        </w:rPr>
      </w:pPr>
      <w:r>
        <w:pict>
          <v:shape id="_x0000_s1085" o:spid="_x0000_s1085" o:spt="136" type="#_x0000_t136" style="position:absolute;left:0pt;margin-left:41.25pt;margin-top:39.7pt;height:132pt;width:528.05pt;mso-position-horizontal-relative:page;rotation:20643840f;z-index:-251595776;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宋体" w:eastAsia="宋体"/>
          <w:spacing w:val="-6"/>
          <w:sz w:val="24"/>
        </w:rPr>
        <w:t xml:space="preserve">已抵扣进项税额的购进服务，发生上述第 </w:t>
      </w:r>
      <w:r>
        <w:rPr>
          <w:rFonts w:ascii="Calibri" w:eastAsia="Calibri"/>
          <w:sz w:val="24"/>
        </w:rPr>
        <w:t>5</w:t>
      </w:r>
      <w:r>
        <w:rPr>
          <w:rFonts w:ascii="Calibri" w:eastAsia="Calibri"/>
          <w:spacing w:val="6"/>
          <w:sz w:val="24"/>
        </w:rPr>
        <w:t xml:space="preserve"> </w:t>
      </w:r>
      <w:r>
        <w:rPr>
          <w:rFonts w:hint="eastAsia" w:ascii="宋体" w:eastAsia="宋体"/>
          <w:spacing w:val="-4"/>
          <w:sz w:val="24"/>
        </w:rPr>
        <w:t>点规定情形</w:t>
      </w:r>
      <w:r>
        <w:rPr>
          <w:rFonts w:hint="eastAsia" w:ascii="宋体" w:eastAsia="宋体"/>
          <w:spacing w:val="-3"/>
          <w:sz w:val="24"/>
        </w:rPr>
        <w:t>（</w:t>
      </w:r>
      <w:r>
        <w:rPr>
          <w:rFonts w:hint="eastAsia" w:ascii="宋体" w:eastAsia="宋体"/>
          <w:spacing w:val="-2"/>
          <w:sz w:val="24"/>
        </w:rPr>
        <w:t>简易计税方法计税项</w:t>
      </w:r>
      <w:r>
        <w:rPr>
          <w:rFonts w:hint="eastAsia" w:ascii="宋体" w:eastAsia="宋体"/>
          <w:spacing w:val="-5"/>
          <w:sz w:val="24"/>
        </w:rPr>
        <w:t>目、免征增值税项目除外</w:t>
      </w:r>
      <w:r>
        <w:rPr>
          <w:rFonts w:hint="eastAsia" w:ascii="宋体" w:eastAsia="宋体"/>
          <w:spacing w:val="-24"/>
          <w:sz w:val="24"/>
        </w:rPr>
        <w:t>）</w:t>
      </w:r>
      <w:r>
        <w:rPr>
          <w:rFonts w:hint="eastAsia" w:ascii="宋体" w:eastAsia="宋体"/>
          <w:spacing w:val="-7"/>
          <w:sz w:val="24"/>
        </w:rPr>
        <w:t>的，应当将该进项税额从当期进项税额中扣减；无法</w:t>
      </w:r>
      <w:r>
        <w:rPr>
          <w:rFonts w:hint="eastAsia" w:ascii="宋体" w:eastAsia="宋体"/>
          <w:sz w:val="24"/>
        </w:rPr>
        <w:t>确定该进项税额的，按照当期实际成本计算应扣减的进项税额。</w:t>
      </w:r>
    </w:p>
    <w:p>
      <w:pPr>
        <w:pStyle w:val="8"/>
        <w:numPr>
          <w:ilvl w:val="0"/>
          <w:numId w:val="72"/>
        </w:numPr>
        <w:tabs>
          <w:tab w:val="left" w:pos="1984"/>
        </w:tabs>
        <w:spacing w:before="1" w:after="0" w:line="364" w:lineRule="auto"/>
        <w:ind w:left="1800" w:right="1797" w:firstLine="0"/>
        <w:jc w:val="both"/>
        <w:rPr>
          <w:rFonts w:hint="eastAsia" w:ascii="宋体" w:eastAsia="宋体"/>
          <w:sz w:val="24"/>
        </w:rPr>
      </w:pPr>
      <w:r>
        <w:rPr>
          <w:rFonts w:hint="eastAsia" w:ascii="宋体" w:eastAsia="宋体"/>
          <w:spacing w:val="-5"/>
          <w:sz w:val="24"/>
        </w:rPr>
        <w:t xml:space="preserve">已抵扣进项税额的无形资产或者不动产，发生上述第 </w:t>
      </w:r>
      <w:r>
        <w:rPr>
          <w:rFonts w:ascii="Calibri" w:eastAsia="Calibri"/>
          <w:sz w:val="24"/>
        </w:rPr>
        <w:t>5</w:t>
      </w:r>
      <w:r>
        <w:rPr>
          <w:rFonts w:ascii="Calibri" w:eastAsia="Calibri"/>
          <w:spacing w:val="6"/>
          <w:sz w:val="24"/>
        </w:rPr>
        <w:t xml:space="preserve"> </w:t>
      </w:r>
      <w:r>
        <w:rPr>
          <w:rFonts w:hint="eastAsia" w:ascii="宋体" w:eastAsia="宋体"/>
          <w:spacing w:val="-5"/>
          <w:sz w:val="24"/>
        </w:rPr>
        <w:t>点规定情形的，按照下</w:t>
      </w:r>
      <w:r>
        <w:rPr>
          <w:rFonts w:hint="eastAsia" w:ascii="宋体" w:eastAsia="宋体"/>
          <w:sz w:val="24"/>
        </w:rPr>
        <w:t>列公式计算不得抵扣的进项税额：</w:t>
      </w:r>
    </w:p>
    <w:p>
      <w:pPr>
        <w:pStyle w:val="3"/>
        <w:spacing w:before="2"/>
      </w:pPr>
      <w:r>
        <w:t>不得抵扣的进项税额</w:t>
      </w:r>
      <w:r>
        <w:rPr>
          <w:rFonts w:ascii="Calibri" w:hAnsi="Calibri" w:eastAsia="Calibri"/>
        </w:rPr>
        <w:t>=</w:t>
      </w:r>
      <w:r>
        <w:t>无形资产或者不动产净值×适用税率</w:t>
      </w:r>
    </w:p>
    <w:p>
      <w:pPr>
        <w:pStyle w:val="8"/>
        <w:numPr>
          <w:ilvl w:val="0"/>
          <w:numId w:val="72"/>
        </w:numPr>
        <w:tabs>
          <w:tab w:val="left" w:pos="1984"/>
        </w:tabs>
        <w:spacing w:before="160" w:after="0" w:line="364" w:lineRule="auto"/>
        <w:ind w:left="1800" w:right="1675" w:firstLine="0"/>
        <w:jc w:val="left"/>
        <w:rPr>
          <w:rFonts w:hint="eastAsia" w:ascii="宋体" w:eastAsia="宋体"/>
          <w:sz w:val="24"/>
        </w:rPr>
      </w:pPr>
      <w:r>
        <w:rPr>
          <w:rFonts w:hint="eastAsia" w:ascii="宋体" w:eastAsia="宋体"/>
          <w:spacing w:val="-10"/>
          <w:sz w:val="24"/>
        </w:rPr>
        <w:t xml:space="preserve">按照《增值税暂行条例》第十条和上述第 </w:t>
      </w:r>
      <w:r>
        <w:rPr>
          <w:rFonts w:ascii="Calibri" w:eastAsia="Calibri"/>
          <w:sz w:val="24"/>
        </w:rPr>
        <w:t>5</w:t>
      </w:r>
      <w:r>
        <w:rPr>
          <w:rFonts w:ascii="Calibri" w:eastAsia="Calibri"/>
          <w:spacing w:val="6"/>
          <w:sz w:val="24"/>
        </w:rPr>
        <w:t xml:space="preserve"> </w:t>
      </w:r>
      <w:r>
        <w:rPr>
          <w:rFonts w:hint="eastAsia" w:ascii="宋体" w:eastAsia="宋体"/>
          <w:sz w:val="24"/>
        </w:rPr>
        <w:t>点不得抵扣且未抵扣进项税额的固</w:t>
      </w:r>
      <w:r>
        <w:rPr>
          <w:rFonts w:hint="eastAsia" w:ascii="宋体" w:eastAsia="宋体"/>
          <w:spacing w:val="-16"/>
          <w:sz w:val="24"/>
        </w:rPr>
        <w:t xml:space="preserve">定资产、无形资产、不动产，发生用途改变，用于允许抵扣进项税额的应税项目， </w:t>
      </w:r>
      <w:r>
        <w:rPr>
          <w:rFonts w:hint="eastAsia" w:ascii="宋体" w:eastAsia="宋体"/>
          <w:spacing w:val="-5"/>
          <w:sz w:val="24"/>
        </w:rPr>
        <w:t>可在用途改变的次月按照下列公式，依据合法有效的增值税扣税凭证，计算可以抵扣的进项税额：</w:t>
      </w:r>
    </w:p>
    <w:p>
      <w:pPr>
        <w:pStyle w:val="3"/>
        <w:spacing w:before="2" w:line="364" w:lineRule="auto"/>
        <w:ind w:right="1725"/>
      </w:pPr>
      <w:r>
        <w:t>可以抵扣的进项税额</w:t>
      </w:r>
      <w:r>
        <w:rPr>
          <w:rFonts w:ascii="Calibri" w:hAnsi="Calibri" w:eastAsia="Calibri"/>
        </w:rPr>
        <w:t>=</w:t>
      </w:r>
      <w:r>
        <w:t>固定资产、无形资产、不动产净值</w:t>
      </w:r>
      <w:r>
        <w:rPr>
          <w:rFonts w:ascii="Calibri" w:hAnsi="Calibri" w:eastAsia="Calibri"/>
        </w:rPr>
        <w:t>/</w:t>
      </w:r>
      <w:r>
        <w:t>（</w:t>
      </w:r>
      <w:r>
        <w:rPr>
          <w:rFonts w:ascii="Calibri" w:hAnsi="Calibri" w:eastAsia="Calibri"/>
        </w:rPr>
        <w:t>1+</w:t>
      </w:r>
      <w:r>
        <w:t>适用税率）×适用税率</w:t>
      </w:r>
    </w:p>
    <w:p>
      <w:pPr>
        <w:pStyle w:val="3"/>
        <w:spacing w:before="2"/>
      </w:pPr>
      <w:r>
        <w:t>上述可以抵扣的进项税额应取得合法有效的增值税扣税凭证。</w:t>
      </w:r>
    </w:p>
    <w:p>
      <w:pPr>
        <w:pStyle w:val="3"/>
        <w:spacing w:before="160"/>
      </w:pPr>
      <w:r>
        <w:t>（二）增值税期末留抵税额。</w:t>
      </w:r>
    </w:p>
    <w:p>
      <w:pPr>
        <w:pStyle w:val="3"/>
        <w:spacing w:before="161" w:line="364" w:lineRule="auto"/>
        <w:ind w:right="1797"/>
        <w:jc w:val="both"/>
      </w:pPr>
      <w:r>
        <w:rPr>
          <w:spacing w:val="-6"/>
        </w:rPr>
        <w:t>原增值税一般纳税人兼有销售服务、无形资产或者不动产的，截止到纳入营改增试点之日前的增值税期末留抵税额，不得从销售服务、无形资产或者不动产的销</w:t>
      </w:r>
      <w:r>
        <w:t>项税额中抵扣。</w:t>
      </w:r>
    </w:p>
    <w:p>
      <w:pPr>
        <w:pStyle w:val="3"/>
      </w:pPr>
      <w:r>
        <w:t>（三）混合销售。</w:t>
      </w:r>
    </w:p>
    <w:p>
      <w:pPr>
        <w:pStyle w:val="3"/>
        <w:spacing w:before="161"/>
      </w:pPr>
      <w:r>
        <w:t>一项销售行为如果既涉及货物又涉及服务，为混合销售。从事货物的生产、批发</w:t>
      </w:r>
    </w:p>
    <w:p>
      <w:pPr>
        <w:spacing w:after="0"/>
        <w:sectPr>
          <w:pgSz w:w="11910" w:h="16840"/>
          <w:pgMar w:top="1540" w:right="0" w:bottom="1380" w:left="0" w:header="965" w:footer="1182" w:gutter="0"/>
          <w:cols w:space="720" w:num="1"/>
        </w:sectPr>
      </w:pPr>
    </w:p>
    <w:p>
      <w:pPr>
        <w:pStyle w:val="3"/>
        <w:spacing w:before="2"/>
        <w:ind w:left="0"/>
        <w:rPr>
          <w:sz w:val="12"/>
        </w:rPr>
      </w:pPr>
    </w:p>
    <w:p>
      <w:pPr>
        <w:pStyle w:val="3"/>
        <w:spacing w:before="67" w:line="364" w:lineRule="auto"/>
        <w:ind w:right="1797"/>
      </w:pPr>
      <w:r>
        <w:rPr>
          <w:spacing w:val="-6"/>
        </w:rPr>
        <w:t>或者零售的单位和个体工商户的混合销售行为，按照销售货物缴纳增值税；其他</w:t>
      </w:r>
      <w:r>
        <w:t>单位和个体工商户的混合销售行为，按照销售服务缴纳增值税。</w:t>
      </w:r>
    </w:p>
    <w:p>
      <w:pPr>
        <w:pStyle w:val="3"/>
        <w:spacing w:line="364" w:lineRule="auto"/>
        <w:ind w:right="1797"/>
      </w:pPr>
      <w:r>
        <w:rPr>
          <w:spacing w:val="-8"/>
        </w:rPr>
        <w:t>上述从事货物的生产、批发或者零售的单位和个体工商户，包括以从事货物的生</w:t>
      </w:r>
      <w:r>
        <w:t>产、批发或者零售为主，并兼营销售服务的单位和个体工商户在内。</w:t>
      </w:r>
    </w:p>
    <w:p>
      <w:pPr>
        <w:spacing w:before="11"/>
        <w:ind w:left="2280" w:right="0" w:firstLine="0"/>
        <w:jc w:val="left"/>
        <w:outlineLvl w:val="1"/>
        <w:rPr>
          <w:rFonts w:hint="eastAsia" w:ascii="微软雅黑" w:eastAsia="微软雅黑"/>
          <w:b/>
          <w:sz w:val="24"/>
        </w:rPr>
      </w:pPr>
      <w:r>
        <w:rPr>
          <w:rFonts w:hint="eastAsia" w:ascii="微软雅黑" w:eastAsia="微软雅黑"/>
          <w:b/>
          <w:color w:val="333333"/>
          <w:sz w:val="24"/>
        </w:rPr>
        <w:t>【政策依据】契税</w:t>
      </w:r>
    </w:p>
    <w:p>
      <w:pPr>
        <w:pStyle w:val="3"/>
        <w:spacing w:before="182" w:line="338" w:lineRule="auto"/>
        <w:ind w:right="1797" w:firstLine="480"/>
        <w:rPr>
          <w:rFonts w:hint="eastAsia" w:ascii="微软雅黑" w:eastAsia="微软雅黑"/>
        </w:rPr>
      </w:pPr>
      <w:bookmarkStart w:id="23" w:name="_bookmark11"/>
      <w:bookmarkEnd w:id="23"/>
      <w:r>
        <w:rPr>
          <w:rFonts w:hint="eastAsia" w:ascii="微软雅黑" w:eastAsia="微软雅黑"/>
          <w:color w:val="333333"/>
          <w:spacing w:val="-7"/>
        </w:rPr>
        <w:t>《财政部税务总局关于继续执行企业、事业单位改制重组有关契税政策的公</w:t>
      </w:r>
      <w:r>
        <w:rPr>
          <w:rFonts w:hint="eastAsia" w:ascii="微软雅黑" w:eastAsia="微软雅黑"/>
          <w:color w:val="333333"/>
        </w:rPr>
        <w:t>告》（财税〔2021〕17</w:t>
      </w:r>
      <w:r>
        <w:rPr>
          <w:rFonts w:hint="eastAsia" w:ascii="微软雅黑" w:eastAsia="微软雅黑"/>
          <w:color w:val="333333"/>
          <w:spacing w:val="-6"/>
        </w:rPr>
        <w:t xml:space="preserve"> 号</w:t>
      </w:r>
      <w:r>
        <w:rPr>
          <w:rFonts w:hint="eastAsia" w:ascii="微软雅黑" w:eastAsia="微软雅黑"/>
          <w:color w:val="333333"/>
        </w:rPr>
        <w:t>）</w:t>
      </w:r>
    </w:p>
    <w:p>
      <w:pPr>
        <w:pStyle w:val="3"/>
        <w:spacing w:before="0" w:line="298" w:lineRule="exact"/>
        <w:ind w:left="2520"/>
      </w:pPr>
      <w:r>
        <w:t>一、企业改制</w:t>
      </w:r>
    </w:p>
    <w:p>
      <w:pPr>
        <w:pStyle w:val="3"/>
        <w:spacing w:before="160" w:line="364" w:lineRule="auto"/>
        <w:ind w:right="1797" w:firstLine="480"/>
      </w:pPr>
      <w:r>
        <w:pict>
          <v:shape id="_x0000_s1086" o:spid="_x0000_s1086" o:spt="136" type="#_x0000_t136" style="position:absolute;left:0pt;margin-left:41.25pt;margin-top:71pt;height:132pt;width:528.05pt;mso-position-horizontal-relative:page;rotation:20643840f;z-index:-251594752;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spacing w:val="-10"/>
        </w:rPr>
        <w:t>企业按照《中华人民共和国公司法》有关规定整体改制，包括非公司制企业</w:t>
      </w:r>
      <w:r>
        <w:rPr>
          <w:spacing w:val="-6"/>
        </w:rPr>
        <w:t>改制为有限责任公司或股份有限公司，有限责任公司变更为股份有限公司，股份</w:t>
      </w:r>
      <w:r>
        <w:t>有限公司变更为有限责任公司，原企业投资主体存续并在改制</w:t>
      </w:r>
      <w:r>
        <w:rPr>
          <w:rFonts w:ascii="Calibri" w:eastAsia="Calibri"/>
        </w:rPr>
        <w:t>(</w:t>
      </w:r>
      <w:r>
        <w:t>变更</w:t>
      </w:r>
      <w:r>
        <w:rPr>
          <w:rFonts w:ascii="Calibri" w:eastAsia="Calibri"/>
        </w:rPr>
        <w:t>)</w:t>
      </w:r>
      <w:r>
        <w:rPr>
          <w:spacing w:val="-3"/>
        </w:rPr>
        <w:t>后的公司中</w:t>
      </w:r>
      <w:r>
        <w:t>所持股权</w:t>
      </w:r>
      <w:r>
        <w:rPr>
          <w:rFonts w:ascii="Calibri" w:eastAsia="Calibri"/>
        </w:rPr>
        <w:t>(</w:t>
      </w:r>
      <w:r>
        <w:t>股份</w:t>
      </w:r>
      <w:r>
        <w:rPr>
          <w:rFonts w:ascii="Calibri" w:eastAsia="Calibri"/>
        </w:rPr>
        <w:t>)</w:t>
      </w:r>
      <w:r>
        <w:rPr>
          <w:spacing w:val="-13"/>
        </w:rPr>
        <w:t xml:space="preserve">比例超过 </w:t>
      </w:r>
      <w:r>
        <w:rPr>
          <w:rFonts w:ascii="Calibri" w:eastAsia="Calibri"/>
        </w:rPr>
        <w:t>75%</w:t>
      </w:r>
      <w:r>
        <w:t>，且改制</w:t>
      </w:r>
      <w:r>
        <w:rPr>
          <w:rFonts w:ascii="Calibri" w:eastAsia="Calibri"/>
        </w:rPr>
        <w:t>(</w:t>
      </w:r>
      <w:r>
        <w:t>变更</w:t>
      </w:r>
      <w:r>
        <w:rPr>
          <w:rFonts w:ascii="Calibri" w:eastAsia="Calibri"/>
        </w:rPr>
        <w:t>)</w:t>
      </w:r>
      <w:r>
        <w:t>后公司承继原企业权利、义务的， 对改制</w:t>
      </w:r>
      <w:r>
        <w:rPr>
          <w:rFonts w:ascii="Calibri" w:eastAsia="Calibri"/>
        </w:rPr>
        <w:t>(</w:t>
      </w:r>
      <w:r>
        <w:t>变更</w:t>
      </w:r>
      <w:r>
        <w:rPr>
          <w:rFonts w:ascii="Calibri" w:eastAsia="Calibri"/>
        </w:rPr>
        <w:t>)</w:t>
      </w:r>
      <w:r>
        <w:t>后公司承受原企业土地、房屋权属，免征契税。</w:t>
      </w:r>
    </w:p>
    <w:p>
      <w:pPr>
        <w:pStyle w:val="3"/>
        <w:spacing w:before="3"/>
        <w:ind w:left="2279"/>
      </w:pPr>
      <w:r>
        <w:t>二、事业单位改制</w:t>
      </w:r>
    </w:p>
    <w:p>
      <w:pPr>
        <w:pStyle w:val="3"/>
        <w:spacing w:before="161" w:line="364" w:lineRule="auto"/>
        <w:ind w:left="1799" w:right="1797" w:firstLine="480"/>
        <w:jc w:val="both"/>
      </w:pPr>
      <w:r>
        <w:rPr>
          <w:spacing w:val="-7"/>
        </w:rPr>
        <w:t>事业单位按照国家有关规定改制为企业，原投资主体存续并在改制后企业中</w:t>
      </w:r>
      <w:r>
        <w:t>出资</w:t>
      </w:r>
      <w:r>
        <w:rPr>
          <w:rFonts w:ascii="Calibri" w:eastAsia="Calibri"/>
        </w:rPr>
        <w:t>(</w:t>
      </w:r>
      <w:r>
        <w:t>股权、股份</w:t>
      </w:r>
      <w:r>
        <w:rPr>
          <w:rFonts w:ascii="Calibri" w:eastAsia="Calibri"/>
        </w:rPr>
        <w:t>)</w:t>
      </w:r>
      <w:r>
        <w:rPr>
          <w:spacing w:val="-13"/>
        </w:rPr>
        <w:t xml:space="preserve">比例超过 </w:t>
      </w:r>
      <w:r>
        <w:rPr>
          <w:rFonts w:ascii="Calibri" w:eastAsia="Calibri"/>
        </w:rPr>
        <w:t>50%</w:t>
      </w:r>
      <w:r>
        <w:t>的，对改制后企业承受原事业单位土地、房屋权属，免征契税。</w:t>
      </w:r>
    </w:p>
    <w:p>
      <w:pPr>
        <w:pStyle w:val="3"/>
        <w:ind w:left="2280"/>
      </w:pPr>
      <w:r>
        <w:t>三、公司合并</w:t>
      </w:r>
    </w:p>
    <w:p>
      <w:pPr>
        <w:pStyle w:val="3"/>
        <w:spacing w:before="161" w:line="364" w:lineRule="auto"/>
        <w:ind w:right="1797" w:firstLine="480"/>
      </w:pPr>
      <w:r>
        <w:rPr>
          <w:spacing w:val="-8"/>
        </w:rPr>
        <w:t>两个或两个以上的公司，依照法律规定、合同约定，合并为一个公司，且原</w:t>
      </w:r>
      <w:r>
        <w:t>投资主体存续的，对合并后公司承受原合并各方土地、房屋权属，免征契税。</w:t>
      </w:r>
    </w:p>
    <w:p>
      <w:pPr>
        <w:pStyle w:val="3"/>
        <w:ind w:left="2280"/>
      </w:pPr>
      <w:r>
        <w:t>四、公司分立</w:t>
      </w:r>
    </w:p>
    <w:p>
      <w:pPr>
        <w:pStyle w:val="3"/>
        <w:spacing w:before="161" w:line="364" w:lineRule="auto"/>
        <w:ind w:right="1797" w:firstLine="480"/>
      </w:pPr>
      <w:r>
        <w:rPr>
          <w:spacing w:val="-11"/>
        </w:rPr>
        <w:t>公司依照法律规定、合同约定分立为两个或两个以上与原公司投资主体相同</w:t>
      </w:r>
      <w:r>
        <w:t>的公司，对分立后公司承受原公司土地、房屋权属，免征契税。</w:t>
      </w:r>
    </w:p>
    <w:p>
      <w:pPr>
        <w:pStyle w:val="3"/>
        <w:ind w:left="2280"/>
      </w:pPr>
      <w:r>
        <w:t>五、企业破产</w:t>
      </w:r>
    </w:p>
    <w:p>
      <w:pPr>
        <w:pStyle w:val="3"/>
        <w:spacing w:before="160" w:line="364" w:lineRule="auto"/>
        <w:ind w:right="1797" w:firstLine="480"/>
      </w:pPr>
      <w:r>
        <w:t>企业依照有关法律法规规定实施破产，债权人</w:t>
      </w:r>
      <w:r>
        <w:rPr>
          <w:rFonts w:ascii="Calibri" w:eastAsia="Calibri"/>
        </w:rPr>
        <w:t>(</w:t>
      </w:r>
      <w:r>
        <w:t>包括破产企业职工</w:t>
      </w:r>
      <w:r>
        <w:rPr>
          <w:rFonts w:ascii="Calibri" w:eastAsia="Calibri"/>
        </w:rPr>
        <w:t>)</w:t>
      </w:r>
      <w:r>
        <w:rPr>
          <w:spacing w:val="-4"/>
        </w:rPr>
        <w:t>承受破产</w:t>
      </w:r>
      <w:r>
        <w:t>企业抵偿债务的土地、房屋权属，免征契税</w:t>
      </w:r>
      <w:r>
        <w:rPr>
          <w:rFonts w:ascii="Calibri" w:eastAsia="Calibri"/>
        </w:rPr>
        <w:t>;</w:t>
      </w:r>
      <w:r>
        <w:t>对非债权人承受破产企业土地、房</w:t>
      </w:r>
      <w:r>
        <w:rPr>
          <w:spacing w:val="-11"/>
        </w:rPr>
        <w:t>屋权属，凡按照《中华人民共和国劳动法》等国家有关法律法规政策妥善安置原企业全部职工规定，与原企业全部职工签订服务年限不少于三年的劳动用工合同</w:t>
      </w:r>
    </w:p>
    <w:p>
      <w:pPr>
        <w:spacing w:after="0" w:line="364" w:lineRule="auto"/>
        <w:sectPr>
          <w:pgSz w:w="11910" w:h="16840"/>
          <w:pgMar w:top="1540" w:right="0" w:bottom="1380" w:left="0" w:header="965" w:footer="1182" w:gutter="0"/>
          <w:cols w:space="720" w:num="1"/>
        </w:sectPr>
      </w:pPr>
    </w:p>
    <w:p>
      <w:pPr>
        <w:pStyle w:val="3"/>
        <w:spacing w:before="2"/>
        <w:ind w:left="0"/>
        <w:rPr>
          <w:sz w:val="12"/>
        </w:rPr>
      </w:pPr>
    </w:p>
    <w:p>
      <w:pPr>
        <w:pStyle w:val="3"/>
        <w:spacing w:before="67" w:line="364" w:lineRule="auto"/>
        <w:ind w:right="1817"/>
      </w:pPr>
      <w:r>
        <w:t>的，对其承受所购企业土地、房屋权属，免征契税</w:t>
      </w:r>
      <w:r>
        <w:rPr>
          <w:rFonts w:ascii="Calibri" w:eastAsia="Calibri"/>
        </w:rPr>
        <w:t>;</w:t>
      </w:r>
      <w:r>
        <w:t xml:space="preserve">与原企业超过 </w:t>
      </w:r>
      <w:r>
        <w:rPr>
          <w:rFonts w:ascii="Calibri" w:eastAsia="Calibri"/>
        </w:rPr>
        <w:t>30%</w:t>
      </w:r>
      <w:r>
        <w:t>的职工签订服务年限不少于三年的劳动用工合同的，减半征收契税。</w:t>
      </w:r>
    </w:p>
    <w:p>
      <w:pPr>
        <w:pStyle w:val="3"/>
        <w:ind w:left="2280"/>
      </w:pPr>
      <w:r>
        <w:t>六、资产划转</w:t>
      </w:r>
    </w:p>
    <w:p>
      <w:pPr>
        <w:pStyle w:val="3"/>
        <w:spacing w:before="161" w:line="364" w:lineRule="auto"/>
        <w:ind w:right="1797" w:firstLine="480"/>
      </w:pPr>
      <w:r>
        <w:rPr>
          <w:spacing w:val="-5"/>
        </w:rPr>
        <w:t>对承受县级以上人民政府或国有资产管理部门按规定进行行政性调整、划转</w:t>
      </w:r>
      <w:r>
        <w:t>国有土地、房屋权属的单位，免征契税。</w:t>
      </w:r>
    </w:p>
    <w:p>
      <w:pPr>
        <w:pStyle w:val="3"/>
        <w:spacing w:line="364" w:lineRule="auto"/>
        <w:ind w:right="1797" w:firstLine="480"/>
        <w:jc w:val="both"/>
      </w:pPr>
      <w:r>
        <w:rPr>
          <w:spacing w:val="-6"/>
        </w:rPr>
        <w:t>同一投资主体内部所属企业之间土地、房屋权属的划转，包括母公司与其全</w:t>
      </w:r>
      <w:r>
        <w:rPr>
          <w:spacing w:val="-10"/>
        </w:rPr>
        <w:t>资子公司之间，同一公司所属全资子公司之间，同一自然人与其设立的个人独资</w:t>
      </w:r>
      <w:r>
        <w:t>企业、一人有限公司之间土地、房屋权属的划转，免征契税。</w:t>
      </w:r>
    </w:p>
    <w:p>
      <w:pPr>
        <w:pStyle w:val="3"/>
        <w:spacing w:before="2" w:line="364" w:lineRule="auto"/>
        <w:ind w:left="2280" w:right="2185"/>
      </w:pPr>
      <w:r>
        <w:t>母公司以土地、房屋权属向其全资子公司增资，视同划转，免征契税。七、债权转股权</w:t>
      </w:r>
    </w:p>
    <w:p>
      <w:pPr>
        <w:pStyle w:val="3"/>
        <w:spacing w:line="364" w:lineRule="auto"/>
        <w:ind w:right="1797" w:firstLine="480"/>
      </w:pPr>
      <w:r>
        <w:pict>
          <v:shape id="_x0000_s1087" o:spid="_x0000_s1087" o:spt="136" type="#_x0000_t136" style="position:absolute;left:0pt;margin-left:41.25pt;margin-top:39.65pt;height:132pt;width:528.05pt;mso-position-horizontal-relative:page;rotation:20643840f;z-index:-251593728;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spacing w:val="-7"/>
        </w:rPr>
        <w:t>经国务院批准实施债权转股权的企业，对债权转股权后新设立的公司承受原</w:t>
      </w:r>
      <w:r>
        <w:t>企业的土地、房屋权属，免征契税。</w:t>
      </w:r>
    </w:p>
    <w:p>
      <w:pPr>
        <w:pStyle w:val="3"/>
        <w:ind w:left="2280"/>
      </w:pPr>
      <w:r>
        <w:t>八、划拨用地出让或作价出资</w:t>
      </w:r>
    </w:p>
    <w:p>
      <w:pPr>
        <w:pStyle w:val="3"/>
        <w:spacing w:before="160" w:line="364" w:lineRule="auto"/>
        <w:ind w:right="1801" w:firstLine="480"/>
      </w:pPr>
      <w:r>
        <w:t>以出让方式或国家作价出资</w:t>
      </w:r>
      <w:r>
        <w:rPr>
          <w:rFonts w:ascii="Calibri" w:eastAsia="Calibri"/>
        </w:rPr>
        <w:t>(</w:t>
      </w:r>
      <w:r>
        <w:t>入股</w:t>
      </w:r>
      <w:r>
        <w:rPr>
          <w:rFonts w:ascii="Calibri" w:eastAsia="Calibri"/>
        </w:rPr>
        <w:t>)</w:t>
      </w:r>
      <w:r>
        <w:t>方式承受原改制重组企业、事业单位划拨用地的，不属上述规定的免税范围，对承受方应按规定征收契税。</w:t>
      </w:r>
    </w:p>
    <w:p>
      <w:pPr>
        <w:pStyle w:val="3"/>
        <w:spacing w:before="2"/>
        <w:ind w:left="2280"/>
      </w:pPr>
      <w:r>
        <w:t>九、公司股权</w:t>
      </w:r>
      <w:r>
        <w:rPr>
          <w:rFonts w:ascii="Calibri" w:eastAsia="Calibri"/>
        </w:rPr>
        <w:t>(</w:t>
      </w:r>
      <w:r>
        <w:t>股份</w:t>
      </w:r>
      <w:r>
        <w:rPr>
          <w:rFonts w:ascii="Calibri" w:eastAsia="Calibri"/>
        </w:rPr>
        <w:t>)</w:t>
      </w:r>
      <w:r>
        <w:t>转让</w:t>
      </w:r>
    </w:p>
    <w:p>
      <w:pPr>
        <w:pStyle w:val="3"/>
        <w:spacing w:before="160" w:line="364" w:lineRule="auto"/>
        <w:ind w:right="1893" w:firstLine="480"/>
      </w:pPr>
      <w:r>
        <w:t>在股权</w:t>
      </w:r>
      <w:r>
        <w:rPr>
          <w:rFonts w:ascii="Calibri" w:eastAsia="Calibri"/>
        </w:rPr>
        <w:t>(</w:t>
      </w:r>
      <w:r>
        <w:t>股份</w:t>
      </w:r>
      <w:r>
        <w:rPr>
          <w:rFonts w:ascii="Calibri" w:eastAsia="Calibri"/>
        </w:rPr>
        <w:t>)</w:t>
      </w:r>
      <w:r>
        <w:t>转让中，单位、个人承受公司股权</w:t>
      </w:r>
      <w:r>
        <w:rPr>
          <w:rFonts w:ascii="Calibri" w:eastAsia="Calibri"/>
        </w:rPr>
        <w:t>(</w:t>
      </w:r>
      <w:r>
        <w:t>股份</w:t>
      </w:r>
      <w:r>
        <w:rPr>
          <w:rFonts w:ascii="Calibri" w:eastAsia="Calibri"/>
        </w:rPr>
        <w:t>)</w:t>
      </w:r>
      <w:r>
        <w:t>，公司土地、房屋权属不发生转移，不征收契税。</w:t>
      </w:r>
    </w:p>
    <w:p>
      <w:pPr>
        <w:pStyle w:val="3"/>
        <w:spacing w:line="364" w:lineRule="auto"/>
        <w:ind w:right="1727" w:firstLine="480"/>
      </w:pPr>
      <w:r>
        <w:t>【相关税种：国税函</w:t>
      </w:r>
      <w:r>
        <w:rPr>
          <w:rFonts w:ascii="Calibri" w:eastAsia="Calibri"/>
        </w:rPr>
        <w:t xml:space="preserve">[2000]687 </w:t>
      </w:r>
      <w:r>
        <w:t>号 国家税务总局关于以转让股权名义转让房地产行为征收土地增值税问题的批复】</w:t>
      </w:r>
    </w:p>
    <w:p>
      <w:pPr>
        <w:pStyle w:val="3"/>
        <w:spacing w:before="2"/>
        <w:ind w:left="2280"/>
      </w:pPr>
      <w:r>
        <w:t>十、有关用语含义</w:t>
      </w:r>
    </w:p>
    <w:p>
      <w:pPr>
        <w:pStyle w:val="3"/>
        <w:spacing w:before="160" w:line="364" w:lineRule="auto"/>
        <w:ind w:right="1797" w:firstLine="480"/>
      </w:pPr>
      <w:r>
        <w:rPr>
          <w:spacing w:val="-11"/>
        </w:rPr>
        <w:t>本公告所称企业、公司，是指依照我国有关法律法规设立并在中国境内注册</w:t>
      </w:r>
      <w:r>
        <w:t>的企业、公司。</w:t>
      </w:r>
    </w:p>
    <w:p>
      <w:pPr>
        <w:pStyle w:val="3"/>
        <w:spacing w:line="364" w:lineRule="auto"/>
        <w:ind w:right="1797" w:firstLine="480"/>
      </w:pPr>
      <w:r>
        <w:rPr>
          <w:spacing w:val="-7"/>
        </w:rPr>
        <w:t>本公告所称投资主体存续，是指原改制重组企业、事业单位的出资人必须存</w:t>
      </w:r>
      <w:r>
        <w:t>在于改制重组后的企业，出资人的出资比例可以发生变动。</w:t>
      </w:r>
    </w:p>
    <w:p>
      <w:pPr>
        <w:pStyle w:val="3"/>
        <w:spacing w:line="364" w:lineRule="auto"/>
        <w:ind w:right="1797" w:firstLine="480"/>
      </w:pPr>
      <w:r>
        <w:rPr>
          <w:spacing w:val="-7"/>
        </w:rPr>
        <w:t>本公告所称投资主体相同，是指公司分立前后出资人不发生变动，出资人的</w:t>
      </w:r>
      <w:r>
        <w:t>出资比例可以发生变动。</w:t>
      </w:r>
    </w:p>
    <w:p>
      <w:pPr>
        <w:pStyle w:val="3"/>
        <w:spacing w:before="2" w:line="364" w:lineRule="auto"/>
        <w:ind w:right="1797" w:firstLine="480"/>
      </w:pPr>
      <w:r>
        <w:rPr>
          <w:spacing w:val="-16"/>
        </w:rPr>
        <w:t xml:space="preserve">十一、本公告自 </w:t>
      </w:r>
      <w:r>
        <w:rPr>
          <w:rFonts w:ascii="Calibri" w:eastAsia="Calibri"/>
        </w:rPr>
        <w:t xml:space="preserve">2021 </w:t>
      </w:r>
      <w:r>
        <w:rPr>
          <w:spacing w:val="-30"/>
        </w:rPr>
        <w:t xml:space="preserve">年 </w:t>
      </w:r>
      <w:r>
        <w:rPr>
          <w:rFonts w:ascii="Calibri" w:eastAsia="Calibri"/>
        </w:rPr>
        <w:t xml:space="preserve">1 </w:t>
      </w:r>
      <w:r>
        <w:rPr>
          <w:spacing w:val="-30"/>
        </w:rPr>
        <w:t xml:space="preserve">月 </w:t>
      </w:r>
      <w:r>
        <w:rPr>
          <w:rFonts w:ascii="Calibri" w:eastAsia="Calibri"/>
        </w:rPr>
        <w:t xml:space="preserve">1 </w:t>
      </w:r>
      <w:r>
        <w:rPr>
          <w:spacing w:val="-16"/>
        </w:rPr>
        <w:t xml:space="preserve">日起至 </w:t>
      </w:r>
      <w:r>
        <w:rPr>
          <w:rFonts w:ascii="Calibri" w:eastAsia="Calibri"/>
        </w:rPr>
        <w:t xml:space="preserve">2023 </w:t>
      </w:r>
      <w:r>
        <w:rPr>
          <w:spacing w:val="-30"/>
        </w:rPr>
        <w:t xml:space="preserve">年 </w:t>
      </w:r>
      <w:r>
        <w:rPr>
          <w:rFonts w:ascii="Calibri" w:eastAsia="Calibri"/>
        </w:rPr>
        <w:t xml:space="preserve">12 </w:t>
      </w:r>
      <w:r>
        <w:rPr>
          <w:spacing w:val="-30"/>
        </w:rPr>
        <w:t xml:space="preserve">月 </w:t>
      </w:r>
      <w:r>
        <w:rPr>
          <w:rFonts w:ascii="Calibri" w:eastAsia="Calibri"/>
        </w:rPr>
        <w:t xml:space="preserve">31 </w:t>
      </w:r>
      <w:r>
        <w:rPr>
          <w:spacing w:val="-8"/>
        </w:rPr>
        <w:t>日执行。自执行之日</w:t>
      </w:r>
      <w:r>
        <w:rPr>
          <w:spacing w:val="-11"/>
        </w:rPr>
        <w:t>起，企业、事业单位在改制重组过程中，符合本公告规定但已缴纳契税的，可申</w:t>
      </w:r>
    </w:p>
    <w:p>
      <w:pPr>
        <w:spacing w:after="0" w:line="364" w:lineRule="auto"/>
        <w:sectPr>
          <w:pgSz w:w="11910" w:h="16840"/>
          <w:pgMar w:top="1540" w:right="0" w:bottom="1380" w:left="0" w:header="965" w:footer="1182" w:gutter="0"/>
          <w:cols w:space="720" w:num="1"/>
        </w:sectPr>
      </w:pPr>
    </w:p>
    <w:p>
      <w:pPr>
        <w:pStyle w:val="3"/>
        <w:spacing w:before="2"/>
        <w:ind w:left="0"/>
        <w:rPr>
          <w:sz w:val="12"/>
        </w:rPr>
      </w:pPr>
    </w:p>
    <w:p>
      <w:pPr>
        <w:pStyle w:val="3"/>
        <w:spacing w:before="67"/>
      </w:pPr>
      <w:r>
        <w:t>请退税</w:t>
      </w:r>
      <w:r>
        <w:rPr>
          <w:rFonts w:ascii="Calibri" w:eastAsia="Calibri"/>
        </w:rPr>
        <w:t>;</w:t>
      </w:r>
      <w:r>
        <w:t>涉及的契税尚未处理且符合本公告规定的，可按本公告执行。</w:t>
      </w:r>
    </w:p>
    <w:p>
      <w:pPr>
        <w:pStyle w:val="3"/>
        <w:spacing w:before="0"/>
        <w:ind w:left="0"/>
        <w:rPr>
          <w:sz w:val="26"/>
        </w:rPr>
      </w:pPr>
    </w:p>
    <w:p>
      <w:pPr>
        <w:pStyle w:val="3"/>
        <w:spacing w:before="10"/>
        <w:ind w:left="0"/>
        <w:rPr>
          <w:sz w:val="23"/>
        </w:rPr>
      </w:pPr>
    </w:p>
    <w:p>
      <w:pPr>
        <w:spacing w:before="0"/>
        <w:ind w:left="2280" w:right="0" w:firstLine="0"/>
        <w:jc w:val="left"/>
        <w:outlineLvl w:val="1"/>
        <w:rPr>
          <w:rFonts w:hint="eastAsia" w:ascii="微软雅黑" w:eastAsia="微软雅黑"/>
          <w:b/>
          <w:sz w:val="24"/>
        </w:rPr>
      </w:pPr>
      <w:r>
        <w:rPr>
          <w:rFonts w:hint="eastAsia" w:ascii="微软雅黑" w:eastAsia="微软雅黑"/>
          <w:b/>
          <w:color w:val="333333"/>
          <w:sz w:val="24"/>
        </w:rPr>
        <w:t>【政策依据】土地增值税</w:t>
      </w:r>
    </w:p>
    <w:p>
      <w:pPr>
        <w:pStyle w:val="3"/>
        <w:spacing w:before="182"/>
        <w:ind w:left="2280"/>
        <w:rPr>
          <w:rFonts w:hint="eastAsia" w:ascii="微软雅黑" w:eastAsia="微软雅黑"/>
        </w:rPr>
      </w:pPr>
      <w:bookmarkStart w:id="24" w:name="_bookmark12"/>
      <w:bookmarkEnd w:id="24"/>
      <w:r>
        <w:rPr>
          <w:rFonts w:hint="eastAsia" w:ascii="微软雅黑" w:eastAsia="微软雅黑"/>
          <w:color w:val="333333"/>
        </w:rPr>
        <w:t>《财政部税务总局关于继续实施企业改制重组有关土地增值税政策的通知》</w:t>
      </w:r>
    </w:p>
    <w:p>
      <w:pPr>
        <w:pStyle w:val="3"/>
        <w:spacing w:before="181"/>
        <w:rPr>
          <w:rFonts w:hint="eastAsia" w:ascii="微软雅黑" w:eastAsia="微软雅黑"/>
        </w:rPr>
      </w:pPr>
      <w:r>
        <w:rPr>
          <w:rFonts w:hint="eastAsia" w:ascii="微软雅黑" w:eastAsia="微软雅黑"/>
          <w:color w:val="333333"/>
        </w:rPr>
        <w:t>（财税〔2021〕21 号）</w:t>
      </w:r>
    </w:p>
    <w:p>
      <w:pPr>
        <w:pStyle w:val="3"/>
        <w:spacing w:before="172" w:line="364" w:lineRule="auto"/>
        <w:ind w:right="1797" w:firstLine="480"/>
      </w:pPr>
      <w:r>
        <w:rPr>
          <w:spacing w:val="-10"/>
        </w:rPr>
        <w:t>支持企业改制重组，优化市场环境，现就继续执行有关土地增值税政策公告</w:t>
      </w:r>
      <w:r>
        <w:t>如下：</w:t>
      </w:r>
    </w:p>
    <w:p>
      <w:pPr>
        <w:pStyle w:val="3"/>
        <w:spacing w:before="2" w:line="364" w:lineRule="auto"/>
        <w:ind w:right="1705" w:firstLine="480"/>
      </w:pPr>
      <w:r>
        <w:pict>
          <v:shape id="_x0000_s1088" o:spid="_x0000_s1088" o:spt="136" type="#_x0000_t136" style="position:absolute;left:0pt;margin-left:41.25pt;margin-top:86.5pt;height:132pt;width:528.05pt;mso-position-horizontal-relative:page;rotation:20643840f;z-index:-251592704;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spacing w:val="-9"/>
        </w:rPr>
        <w:t>一、企业按照《中华人民共和国公司法》有关规定整体改制，包括非公司制</w:t>
      </w:r>
      <w:r>
        <w:rPr>
          <w:spacing w:val="-10"/>
        </w:rPr>
        <w:t xml:space="preserve">企业改制为有限责任公司或股份有限公司，有限责任公司变更为股份有限公司， </w:t>
      </w:r>
      <w:r>
        <w:rPr>
          <w:spacing w:val="-5"/>
        </w:rPr>
        <w:t>股份有限公司变更为有限责任公司，对改制前的企业将国有土地使用权、地上的</w:t>
      </w:r>
      <w:r>
        <w:rPr>
          <w:spacing w:val="-8"/>
        </w:rPr>
        <w:t>建筑物及其附着物</w:t>
      </w:r>
      <w:r>
        <w:t>（以下称房地产</w:t>
      </w:r>
      <w:r>
        <w:rPr>
          <w:spacing w:val="-24"/>
        </w:rPr>
        <w:t>）</w:t>
      </w:r>
      <w:r>
        <w:rPr>
          <w:spacing w:val="-7"/>
        </w:rPr>
        <w:t>转移、变更到改制后的企业，暂不征土地增值税。</w:t>
      </w:r>
    </w:p>
    <w:p>
      <w:pPr>
        <w:pStyle w:val="3"/>
        <w:spacing w:before="3" w:line="364" w:lineRule="auto"/>
        <w:ind w:right="1797" w:firstLine="480"/>
      </w:pPr>
      <w:r>
        <w:rPr>
          <w:spacing w:val="-6"/>
        </w:rPr>
        <w:t>本公告所称整体改制是指不改变原企业的投资主体，并承继原企业权利、义</w:t>
      </w:r>
      <w:r>
        <w:t>务的行为。</w:t>
      </w:r>
    </w:p>
    <w:p>
      <w:pPr>
        <w:pStyle w:val="3"/>
        <w:spacing w:line="364" w:lineRule="auto"/>
        <w:ind w:right="1795" w:firstLine="480"/>
        <w:jc w:val="both"/>
      </w:pPr>
      <w:r>
        <w:rPr>
          <w:spacing w:val="-10"/>
        </w:rPr>
        <w:t>二、按照法律规定或者合同约定，两个或两个以上企业合并为一个企业，且</w:t>
      </w:r>
      <w:r>
        <w:rPr>
          <w:spacing w:val="-7"/>
        </w:rPr>
        <w:t>原企业投资主体存续的，对原企业将房地产转移、变更到合并后的企业，暂不征</w:t>
      </w:r>
      <w:r>
        <w:t>土地增值税。</w:t>
      </w:r>
    </w:p>
    <w:p>
      <w:pPr>
        <w:pStyle w:val="3"/>
        <w:spacing w:before="2" w:line="364" w:lineRule="auto"/>
        <w:ind w:right="1797" w:firstLine="480"/>
        <w:jc w:val="both"/>
      </w:pPr>
      <w:r>
        <w:rPr>
          <w:spacing w:val="-11"/>
        </w:rPr>
        <w:t>三、按照法律规定或者合同约定，企业分设为两个或两个以上与原企业投资</w:t>
      </w:r>
      <w:r>
        <w:rPr>
          <w:spacing w:val="-8"/>
        </w:rPr>
        <w:t>主体相同的企业，对原企业将房地产转移、变更到分立后的企业，暂不征土地增</w:t>
      </w:r>
      <w:r>
        <w:t>值税。</w:t>
      </w:r>
    </w:p>
    <w:p>
      <w:pPr>
        <w:pStyle w:val="3"/>
        <w:spacing w:line="364" w:lineRule="auto"/>
        <w:ind w:right="1797" w:firstLine="480"/>
      </w:pPr>
      <w:r>
        <w:rPr>
          <w:spacing w:val="-11"/>
        </w:rPr>
        <w:t>四、单位、个人在改制重组时以房地产作价入股进行投资，对其将房地产转</w:t>
      </w:r>
      <w:r>
        <w:t>移、变更到被投资的企业，暂不征土地增值税。</w:t>
      </w:r>
    </w:p>
    <w:p>
      <w:pPr>
        <w:pStyle w:val="3"/>
        <w:spacing w:before="2" w:line="364" w:lineRule="auto"/>
        <w:ind w:right="1797" w:firstLine="480"/>
      </w:pPr>
      <w:r>
        <w:rPr>
          <w:spacing w:val="-12"/>
        </w:rPr>
        <w:t>五、上述改制重组有关土地增值税政策不适用于房地产转移任意一方为房地</w:t>
      </w:r>
      <w:r>
        <w:t>产开发企业的情形。</w:t>
      </w:r>
    </w:p>
    <w:p>
      <w:pPr>
        <w:pStyle w:val="3"/>
        <w:spacing w:line="364" w:lineRule="auto"/>
        <w:ind w:right="1797" w:firstLine="480"/>
        <w:jc w:val="both"/>
      </w:pPr>
      <w:r>
        <w:rPr>
          <w:spacing w:val="-5"/>
        </w:rPr>
        <w:t>六、改制重组后再转让房地产并申报缴纳土地增值税时，对“取得土地使用</w:t>
      </w:r>
      <w:r>
        <w:rPr>
          <w:spacing w:val="-11"/>
        </w:rPr>
        <w:t>权所支付的金额”，按照改制重组前取得该宗国有土地使用权所支付的地价款和</w:t>
      </w:r>
      <w:r>
        <w:t>按国家统一规定缴纳的有关费用确定；经批准以国有土地使用权作价出资入股</w:t>
      </w:r>
      <w:r>
        <w:rPr>
          <w:spacing w:val="-10"/>
        </w:rPr>
        <w:t>的，为作价入股时县级及以上自然资源部门批准的评估价格。按购房发票确定扣</w:t>
      </w:r>
    </w:p>
    <w:p>
      <w:pPr>
        <w:spacing w:after="0" w:line="364" w:lineRule="auto"/>
        <w:jc w:val="both"/>
        <w:sectPr>
          <w:pgSz w:w="11910" w:h="16840"/>
          <w:pgMar w:top="1540" w:right="0" w:bottom="1380" w:left="0" w:header="965" w:footer="1182" w:gutter="0"/>
          <w:cols w:space="720" w:num="1"/>
        </w:sectPr>
      </w:pPr>
    </w:p>
    <w:p>
      <w:pPr>
        <w:pStyle w:val="3"/>
        <w:spacing w:before="2"/>
        <w:ind w:left="0"/>
        <w:rPr>
          <w:sz w:val="12"/>
        </w:rPr>
      </w:pPr>
    </w:p>
    <w:p>
      <w:pPr>
        <w:pStyle w:val="3"/>
        <w:spacing w:before="67" w:line="364" w:lineRule="auto"/>
        <w:ind w:right="1797"/>
      </w:pPr>
      <w:r>
        <w:rPr>
          <w:spacing w:val="-11"/>
        </w:rPr>
        <w:t>除项目金额的，按照改制重组前购房发票所载金额并从购买年度起至本次转让年</w:t>
      </w:r>
      <w:r>
        <w:rPr>
          <w:spacing w:val="-9"/>
        </w:rPr>
        <w:t xml:space="preserve">度止每年加计 </w:t>
      </w:r>
      <w:r>
        <w:rPr>
          <w:rFonts w:ascii="Calibri" w:eastAsia="Calibri"/>
        </w:rPr>
        <w:t>5%</w:t>
      </w:r>
      <w:r>
        <w:t>计算扣除项目金额，购买年度是指购房发票所载日期的当年。</w:t>
      </w:r>
    </w:p>
    <w:p>
      <w:pPr>
        <w:pStyle w:val="3"/>
        <w:ind w:left="2280"/>
      </w:pPr>
      <w:r>
        <w:t>七、纳税人享受上述税收政策，应按税务机关规定办理。</w:t>
      </w:r>
    </w:p>
    <w:p>
      <w:pPr>
        <w:pStyle w:val="3"/>
        <w:spacing w:before="161" w:line="364" w:lineRule="auto"/>
        <w:ind w:right="1705" w:firstLine="480"/>
        <w:jc w:val="both"/>
      </w:pPr>
      <w:r>
        <w:rPr>
          <w:spacing w:val="-5"/>
        </w:rPr>
        <w:t>八、本公告所称不改变原企业投资主体、投资主体相同，是指企业改制重组</w:t>
      </w:r>
      <w:r>
        <w:rPr>
          <w:spacing w:val="-10"/>
        </w:rPr>
        <w:t>前后出资人不发生变动，出资人的出资比例可以发生变动；投资主体存续，是指</w:t>
      </w:r>
      <w:r>
        <w:rPr>
          <w:spacing w:val="-11"/>
        </w:rPr>
        <w:t>原企业出资人必须存在于改制重组后的企业，出资人的出资比例可以发生变动。</w:t>
      </w:r>
    </w:p>
    <w:p>
      <w:pPr>
        <w:pStyle w:val="3"/>
        <w:spacing w:line="364" w:lineRule="auto"/>
        <w:ind w:right="1788" w:firstLine="480"/>
        <w:jc w:val="both"/>
      </w:pPr>
      <w:r>
        <w:rPr>
          <w:spacing w:val="-6"/>
        </w:rPr>
        <w:t xml:space="preserve">九、本公告执行期限为 </w:t>
      </w:r>
      <w:r>
        <w:rPr>
          <w:rFonts w:ascii="Calibri" w:eastAsia="Calibri"/>
        </w:rPr>
        <w:t xml:space="preserve">2021 </w:t>
      </w:r>
      <w:r>
        <w:rPr>
          <w:spacing w:val="-30"/>
        </w:rPr>
        <w:t xml:space="preserve">年 </w:t>
      </w:r>
      <w:r>
        <w:rPr>
          <w:rFonts w:ascii="Calibri" w:eastAsia="Calibri"/>
        </w:rPr>
        <w:t xml:space="preserve">1 </w:t>
      </w:r>
      <w:r>
        <w:rPr>
          <w:spacing w:val="-30"/>
        </w:rPr>
        <w:t xml:space="preserve">月 </w:t>
      </w:r>
      <w:r>
        <w:rPr>
          <w:rFonts w:ascii="Calibri" w:eastAsia="Calibri"/>
        </w:rPr>
        <w:t xml:space="preserve">1 </w:t>
      </w:r>
      <w:r>
        <w:rPr>
          <w:spacing w:val="-20"/>
        </w:rPr>
        <w:t xml:space="preserve">日至 </w:t>
      </w:r>
      <w:r>
        <w:rPr>
          <w:rFonts w:ascii="Calibri" w:eastAsia="Calibri"/>
        </w:rPr>
        <w:t xml:space="preserve">2023 </w:t>
      </w:r>
      <w:r>
        <w:rPr>
          <w:spacing w:val="-30"/>
        </w:rPr>
        <w:t xml:space="preserve">年 </w:t>
      </w:r>
      <w:r>
        <w:rPr>
          <w:rFonts w:ascii="Calibri" w:eastAsia="Calibri"/>
        </w:rPr>
        <w:t xml:space="preserve">12 </w:t>
      </w:r>
      <w:r>
        <w:rPr>
          <w:spacing w:val="-29"/>
        </w:rPr>
        <w:t xml:space="preserve">月 </w:t>
      </w:r>
      <w:r>
        <w:rPr>
          <w:rFonts w:ascii="Calibri" w:eastAsia="Calibri"/>
        </w:rPr>
        <w:t xml:space="preserve">31 </w:t>
      </w:r>
      <w:r>
        <w:rPr>
          <w:spacing w:val="-18"/>
        </w:rPr>
        <w:t>日。企业改制重组过程中涉及的土地增值税尚未处理的，符合本公告规定可按本公告执行。</w:t>
      </w:r>
    </w:p>
    <w:p>
      <w:pPr>
        <w:spacing w:before="11"/>
        <w:ind w:left="2280" w:right="0" w:firstLine="0"/>
        <w:jc w:val="left"/>
        <w:outlineLvl w:val="1"/>
        <w:rPr>
          <w:rFonts w:hint="eastAsia" w:ascii="微软雅黑" w:eastAsia="微软雅黑"/>
          <w:b/>
          <w:sz w:val="24"/>
        </w:rPr>
      </w:pPr>
      <w:r>
        <w:rPr>
          <w:rFonts w:hint="eastAsia" w:ascii="微软雅黑" w:eastAsia="微软雅黑"/>
          <w:b/>
          <w:color w:val="333333"/>
          <w:sz w:val="24"/>
        </w:rPr>
        <w:t>【政策依据】印花税</w:t>
      </w:r>
    </w:p>
    <w:p>
      <w:pPr>
        <w:pStyle w:val="3"/>
        <w:spacing w:before="182"/>
        <w:ind w:left="2280"/>
        <w:rPr>
          <w:rFonts w:hint="eastAsia" w:ascii="微软雅黑" w:eastAsia="微软雅黑"/>
        </w:rPr>
      </w:pPr>
      <w:bookmarkStart w:id="25" w:name="_bookmark13"/>
      <w:bookmarkEnd w:id="25"/>
      <w:r>
        <w:rPr>
          <w:rFonts w:hint="eastAsia" w:ascii="微软雅黑" w:eastAsia="微软雅黑"/>
          <w:color w:val="333333"/>
        </w:rPr>
        <w:t>《财政部国家税务总局关于企业改制过程中有关印花税政策的通知》（财税</w:t>
      </w:r>
    </w:p>
    <w:p>
      <w:pPr>
        <w:pStyle w:val="3"/>
        <w:spacing w:before="181"/>
        <w:rPr>
          <w:rFonts w:hint="eastAsia" w:ascii="微软雅黑" w:eastAsia="微软雅黑"/>
        </w:rPr>
      </w:pPr>
      <w:r>
        <w:pict>
          <v:shape id="_x0000_s1089" o:spid="_x0000_s1089" o:spt="136" type="#_x0000_t136" style="position:absolute;left:0pt;margin-left:41.25pt;margin-top:32.55pt;height:132pt;width:528.05pt;mso-position-horizontal-relative:page;rotation:20643840f;z-index:-251591680;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微软雅黑" w:eastAsia="微软雅黑"/>
          <w:color w:val="333333"/>
        </w:rPr>
        <w:t>〔2003〕183 号）</w:t>
      </w:r>
    </w:p>
    <w:p>
      <w:pPr>
        <w:pStyle w:val="3"/>
        <w:spacing w:before="172" w:line="364" w:lineRule="auto"/>
        <w:ind w:right="1857" w:firstLine="566"/>
      </w:pPr>
      <w:r>
        <w:t>各省、自治区、直辖市、计划单列市财政厅（局）、地方税务局，新疆生产建设兵团财务局：</w:t>
      </w:r>
    </w:p>
    <w:p>
      <w:pPr>
        <w:pStyle w:val="3"/>
        <w:spacing w:before="2" w:line="364" w:lineRule="auto"/>
        <w:ind w:right="1797"/>
        <w:jc w:val="both"/>
      </w:pPr>
      <w:r>
        <w:rPr>
          <w:spacing w:val="-6"/>
        </w:rPr>
        <w:t>为贯彻落实国务院关于支持企业改制的指示精神，规范企业改制过程中有关税收</w:t>
      </w:r>
      <w:r>
        <w:rPr>
          <w:spacing w:val="-10"/>
        </w:rPr>
        <w:t>政策，现就经县级以上人民政府及企业主管部门批准改制的企业，在改制过程中</w:t>
      </w:r>
      <w:r>
        <w:t>涉及的印花税政策通知如下：</w:t>
      </w:r>
    </w:p>
    <w:p>
      <w:pPr>
        <w:pStyle w:val="3"/>
        <w:ind w:left="2520"/>
      </w:pPr>
      <w:r>
        <w:t>一、关于资金账簿的印花税</w:t>
      </w:r>
    </w:p>
    <w:p>
      <w:pPr>
        <w:pStyle w:val="3"/>
        <w:spacing w:before="161" w:line="364" w:lineRule="auto"/>
        <w:ind w:right="1797" w:firstLine="480"/>
        <w:jc w:val="both"/>
      </w:pPr>
      <w:r>
        <w:t>（一</w:t>
      </w:r>
      <w:r>
        <w:rPr>
          <w:spacing w:val="-48"/>
        </w:rPr>
        <w:t>）</w:t>
      </w:r>
      <w:r>
        <w:rPr>
          <w:spacing w:val="-3"/>
        </w:rPr>
        <w:t>实行公司制改造的企业在改制过程中成立的新企业</w:t>
      </w:r>
      <w:r>
        <w:t>（</w:t>
      </w:r>
      <w:r>
        <w:rPr>
          <w:spacing w:val="-3"/>
        </w:rPr>
        <w:t>重新办理法人登</w:t>
      </w:r>
      <w:r>
        <w:t>记的</w:t>
      </w:r>
      <w:r>
        <w:rPr>
          <w:spacing w:val="-47"/>
        </w:rPr>
        <w:t>）</w:t>
      </w:r>
      <w:r>
        <w:rPr>
          <w:spacing w:val="-8"/>
        </w:rPr>
        <w:t>，其新启用的资金账簿记载的资金或因企业建立资本纽带关系而增加的资</w:t>
      </w:r>
      <w:r>
        <w:rPr>
          <w:spacing w:val="-11"/>
        </w:rPr>
        <w:t>金，凡原已贴花的部分可不再贴花，未贴花的部分和以后新增加的资金按规定贴</w:t>
      </w:r>
      <w:r>
        <w:t>花。</w:t>
      </w:r>
    </w:p>
    <w:p>
      <w:pPr>
        <w:pStyle w:val="3"/>
        <w:spacing w:before="2" w:line="364" w:lineRule="auto"/>
        <w:ind w:right="1705" w:firstLine="480"/>
      </w:pPr>
      <w:r>
        <w:rPr>
          <w:spacing w:val="-1"/>
        </w:rPr>
        <w:t xml:space="preserve">公司制改造包括国有企业依《公司法》整体改造成国有独资有限责任公司； </w:t>
      </w:r>
      <w:r>
        <w:rPr>
          <w:spacing w:val="-5"/>
        </w:rPr>
        <w:t>企业通过增资扩股或者转让部分产权，实现他人对企业的参股，将企业改造成有</w:t>
      </w:r>
      <w:r>
        <w:rPr>
          <w:spacing w:val="-6"/>
        </w:rPr>
        <w:t xml:space="preserve">限责任公司或股份有限公司；企业以其部分财产和相应债务与他人组建新公司； </w:t>
      </w:r>
      <w:r>
        <w:t>企业将债务留在原企业，而以其优质财产与他人组建的新公司。</w:t>
      </w:r>
    </w:p>
    <w:p>
      <w:pPr>
        <w:pStyle w:val="3"/>
        <w:spacing w:before="3" w:line="364" w:lineRule="auto"/>
        <w:ind w:right="1705" w:firstLine="480"/>
        <w:jc w:val="both"/>
      </w:pPr>
      <w:r>
        <w:t>（二）</w:t>
      </w:r>
      <w:r>
        <w:rPr>
          <w:spacing w:val="-1"/>
        </w:rPr>
        <w:t>以合并或分立方式成立的新企业，其新启用的资金账簿记载的资金， 凡原已贴花的部分可不再贴花，未贴花的部分和以后新增加的资金按规定贴花。</w:t>
      </w:r>
      <w:r>
        <w:t>合并包括吸收合并和新设合并。分立包括存续分立和新设分立。</w:t>
      </w:r>
    </w:p>
    <w:p>
      <w:pPr>
        <w:spacing w:after="0" w:line="364" w:lineRule="auto"/>
        <w:jc w:val="both"/>
        <w:sectPr>
          <w:pgSz w:w="11910" w:h="16840"/>
          <w:pgMar w:top="1540" w:right="0" w:bottom="1380" w:left="0" w:header="965" w:footer="1182" w:gutter="0"/>
          <w:cols w:space="720" w:num="1"/>
        </w:sectPr>
      </w:pPr>
    </w:p>
    <w:p>
      <w:pPr>
        <w:pStyle w:val="3"/>
        <w:spacing w:before="2"/>
        <w:ind w:left="0"/>
        <w:rPr>
          <w:sz w:val="12"/>
        </w:rPr>
      </w:pPr>
    </w:p>
    <w:p>
      <w:pPr>
        <w:pStyle w:val="3"/>
        <w:spacing w:before="67"/>
        <w:ind w:left="2280"/>
      </w:pPr>
      <w:r>
        <w:t>（三）企业债权转股权新增加的资金按规定贴花。</w:t>
      </w:r>
    </w:p>
    <w:p>
      <w:pPr>
        <w:pStyle w:val="3"/>
        <w:spacing w:before="160"/>
        <w:ind w:left="2280"/>
      </w:pPr>
      <w:r>
        <w:t>（四）企业改制中经评估增加的资金按规定贴花。</w:t>
      </w:r>
    </w:p>
    <w:p>
      <w:pPr>
        <w:pStyle w:val="3"/>
        <w:spacing w:before="161" w:line="364" w:lineRule="auto"/>
        <w:ind w:right="1797" w:firstLine="480"/>
      </w:pPr>
      <w:r>
        <w:t>（五</w:t>
      </w:r>
      <w:r>
        <w:rPr>
          <w:spacing w:val="-94"/>
        </w:rPr>
        <w:t>）</w:t>
      </w:r>
      <w:r>
        <w:rPr>
          <w:spacing w:val="-1"/>
        </w:rPr>
        <w:t>企业其他会计科目记载的资金转为实收资本或资本公积的资金按规定</w:t>
      </w:r>
      <w:r>
        <w:t>贴花。</w:t>
      </w:r>
    </w:p>
    <w:p>
      <w:pPr>
        <w:pStyle w:val="3"/>
        <w:ind w:left="2172"/>
      </w:pPr>
      <w:r>
        <w:t>二、关于各类应税合同的印花税</w:t>
      </w:r>
    </w:p>
    <w:p>
      <w:pPr>
        <w:pStyle w:val="3"/>
        <w:spacing w:before="161" w:line="364" w:lineRule="auto"/>
        <w:ind w:right="1677" w:firstLine="372"/>
      </w:pPr>
      <w:r>
        <w:rPr>
          <w:spacing w:val="-7"/>
        </w:rPr>
        <w:t xml:space="preserve">企业改制前签订但尚未履行完的各类应税合同，改制后需要变更执行主体的， </w:t>
      </w:r>
      <w:r>
        <w:t>对仅改变执行主体、其余条款未作变动且改制前已贴花的，不再贴花。</w:t>
      </w:r>
    </w:p>
    <w:p>
      <w:pPr>
        <w:pStyle w:val="3"/>
        <w:ind w:left="2172"/>
      </w:pPr>
      <w:r>
        <w:t>三、关于产权转移书据的印花税</w:t>
      </w:r>
    </w:p>
    <w:p>
      <w:pPr>
        <w:pStyle w:val="3"/>
        <w:spacing w:before="160"/>
        <w:ind w:left="2172"/>
      </w:pPr>
      <w:r>
        <w:t>企业因改制签订的产权转移书据免予贴花。</w:t>
      </w:r>
    </w:p>
    <w:p>
      <w:pPr>
        <w:spacing w:before="170"/>
        <w:ind w:left="2280" w:right="0" w:firstLine="0"/>
        <w:jc w:val="left"/>
        <w:outlineLvl w:val="1"/>
        <w:rPr>
          <w:rFonts w:hint="eastAsia" w:ascii="微软雅黑" w:eastAsia="微软雅黑"/>
          <w:b/>
          <w:sz w:val="24"/>
        </w:rPr>
      </w:pPr>
      <w:r>
        <w:rPr>
          <w:rFonts w:hint="eastAsia" w:ascii="微软雅黑" w:eastAsia="微软雅黑"/>
          <w:b/>
          <w:color w:val="333333"/>
          <w:sz w:val="24"/>
        </w:rPr>
        <w:t>【政策依据】个人所得税</w:t>
      </w:r>
    </w:p>
    <w:p>
      <w:pPr>
        <w:pStyle w:val="8"/>
        <w:numPr>
          <w:ilvl w:val="1"/>
          <w:numId w:val="72"/>
        </w:numPr>
        <w:tabs>
          <w:tab w:val="left" w:pos="2506"/>
        </w:tabs>
        <w:spacing w:before="182" w:after="0" w:line="338" w:lineRule="auto"/>
        <w:ind w:left="1800" w:right="1672" w:firstLine="480"/>
        <w:jc w:val="left"/>
        <w:rPr>
          <w:sz w:val="24"/>
        </w:rPr>
      </w:pPr>
      <w:r>
        <w:pict>
          <v:shape id="_x0000_s1090" o:spid="_x0000_s1090" o:spt="136" type="#_x0000_t136" style="position:absolute;left:0pt;margin-left:41.25pt;margin-top:40.4pt;height:132pt;width:528.05pt;mso-position-horizontal-relative:page;rotation:20643840f;z-index:-251590656;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bookmarkStart w:id="26" w:name="_bookmark14"/>
      <w:bookmarkEnd w:id="26"/>
      <w:bookmarkStart w:id="27" w:name="_bookmark14"/>
      <w:bookmarkEnd w:id="27"/>
      <w:r>
        <w:rPr>
          <w:color w:val="333333"/>
          <w:spacing w:val="-2"/>
          <w:sz w:val="24"/>
        </w:rPr>
        <w:t>《关于个人非货币性资产投资有关个人所得税政策的通知</w:t>
      </w:r>
      <w:r>
        <w:rPr>
          <w:color w:val="333333"/>
          <w:spacing w:val="-188"/>
          <w:sz w:val="24"/>
        </w:rPr>
        <w:t>》</w:t>
      </w:r>
      <w:r>
        <w:rPr>
          <w:color w:val="333333"/>
          <w:sz w:val="24"/>
        </w:rPr>
        <w:t>（</w:t>
      </w:r>
      <w:r>
        <w:rPr>
          <w:color w:val="333333"/>
          <w:spacing w:val="-32"/>
          <w:sz w:val="24"/>
        </w:rPr>
        <w:t>财税〔</w:t>
      </w:r>
      <w:r>
        <w:rPr>
          <w:color w:val="333333"/>
          <w:sz w:val="24"/>
        </w:rPr>
        <w:t>2015</w:t>
      </w:r>
      <w:r>
        <w:rPr>
          <w:color w:val="333333"/>
          <w:spacing w:val="-11"/>
          <w:sz w:val="24"/>
        </w:rPr>
        <w:t>〕</w:t>
      </w:r>
      <w:r>
        <w:rPr>
          <w:color w:val="333333"/>
          <w:sz w:val="24"/>
        </w:rPr>
        <w:t>41</w:t>
      </w:r>
      <w:r>
        <w:rPr>
          <w:color w:val="333333"/>
          <w:spacing w:val="-7"/>
          <w:sz w:val="24"/>
        </w:rPr>
        <w:t xml:space="preserve"> 号</w:t>
      </w:r>
      <w:r>
        <w:rPr>
          <w:color w:val="333333"/>
          <w:sz w:val="24"/>
        </w:rPr>
        <w:t>）</w:t>
      </w:r>
    </w:p>
    <w:p>
      <w:pPr>
        <w:pStyle w:val="3"/>
        <w:spacing w:before="0" w:line="364" w:lineRule="auto"/>
        <w:ind w:right="1801" w:firstLine="480"/>
      </w:pPr>
      <w:r>
        <w:rPr>
          <w:spacing w:val="-8"/>
        </w:rPr>
        <w:t>各省、自治区、直辖市、计划单列市财政厅</w:t>
      </w:r>
      <w:r>
        <w:t>（局</w:t>
      </w:r>
      <w:r>
        <w:rPr>
          <w:spacing w:val="-12"/>
        </w:rPr>
        <w:t>）</w:t>
      </w:r>
      <w:r>
        <w:rPr>
          <w:spacing w:val="-7"/>
        </w:rPr>
        <w:t>、地方税务局，新疆生产</w:t>
      </w:r>
      <w:r>
        <w:t>建设兵团财务局：</w:t>
      </w:r>
    </w:p>
    <w:p>
      <w:pPr>
        <w:pStyle w:val="3"/>
        <w:spacing w:before="0" w:line="364" w:lineRule="auto"/>
        <w:ind w:right="1797" w:firstLine="480"/>
        <w:jc w:val="both"/>
      </w:pPr>
      <w:r>
        <w:rPr>
          <w:spacing w:val="-6"/>
        </w:rPr>
        <w:t>为进一步鼓励和引导民间个人投资，经国务院批准，将在上海自由贸易试验</w:t>
      </w:r>
      <w:r>
        <w:rPr>
          <w:spacing w:val="-5"/>
        </w:rPr>
        <w:t>区试点的个人非货币性资产投资分期缴税政策推广至全国。现就个人非货币性资</w:t>
      </w:r>
      <w:r>
        <w:t>产投资有关个人所得税政策通知如下：</w:t>
      </w:r>
    </w:p>
    <w:p>
      <w:pPr>
        <w:pStyle w:val="3"/>
        <w:spacing w:before="0" w:line="364" w:lineRule="auto"/>
        <w:ind w:right="1677" w:firstLine="480"/>
      </w:pPr>
      <w:r>
        <w:rPr>
          <w:spacing w:val="-17"/>
        </w:rPr>
        <w:t>一、个人以非货币性资产投资，属于个人转让非货币性资产和投资同时发生。</w:t>
      </w:r>
      <w:r>
        <w:rPr>
          <w:spacing w:val="-2"/>
        </w:rPr>
        <w:t>对个人转让非货币性资产的所得，应按照</w:t>
      </w:r>
      <w:r>
        <w:rPr>
          <w:rFonts w:ascii="Calibri" w:hAnsi="Calibri" w:eastAsia="Calibri"/>
        </w:rPr>
        <w:t>“</w:t>
      </w:r>
      <w:r>
        <w:t>财产转让所得</w:t>
      </w:r>
      <w:r>
        <w:rPr>
          <w:rFonts w:ascii="Calibri" w:hAnsi="Calibri" w:eastAsia="Calibri"/>
        </w:rPr>
        <w:t>”</w:t>
      </w:r>
      <w:r>
        <w:rPr>
          <w:spacing w:val="-5"/>
        </w:rPr>
        <w:t>项目，依法计算缴纳个人所得税。</w:t>
      </w:r>
    </w:p>
    <w:p>
      <w:pPr>
        <w:pStyle w:val="3"/>
        <w:spacing w:before="0" w:line="364" w:lineRule="auto"/>
        <w:ind w:right="1797" w:firstLine="480"/>
        <w:jc w:val="both"/>
      </w:pPr>
      <w:r>
        <w:rPr>
          <w:spacing w:val="-11"/>
        </w:rPr>
        <w:t>二、个人以非货币性资产投资，应按评估后的公允价值确认非货币性资产转</w:t>
      </w:r>
      <w:r>
        <w:rPr>
          <w:spacing w:val="-12"/>
        </w:rPr>
        <w:t>让收入。非货币性资产转让收入减除该资产原值及合理税费后的余额为应纳税所</w:t>
      </w:r>
      <w:r>
        <w:t>得额。</w:t>
      </w:r>
    </w:p>
    <w:p>
      <w:pPr>
        <w:pStyle w:val="3"/>
        <w:spacing w:before="0" w:line="364" w:lineRule="auto"/>
        <w:ind w:right="1677" w:firstLine="480"/>
      </w:pPr>
      <w:r>
        <w:rPr>
          <w:spacing w:val="-15"/>
        </w:rPr>
        <w:t xml:space="preserve">个人以非货币性资产投资，应于非货币性资产转让、取得被投资企业股权时， </w:t>
      </w:r>
      <w:r>
        <w:t>确认非货币性资产转让收入的实现。</w:t>
      </w:r>
    </w:p>
    <w:p>
      <w:pPr>
        <w:pStyle w:val="3"/>
        <w:spacing w:before="0" w:line="364" w:lineRule="auto"/>
        <w:ind w:right="1797" w:firstLine="480"/>
      </w:pPr>
      <w:r>
        <w:rPr>
          <w:spacing w:val="-4"/>
        </w:rPr>
        <w:t xml:space="preserve">三、个人应在发生上述应税行为的次月 </w:t>
      </w:r>
      <w:r>
        <w:rPr>
          <w:rFonts w:ascii="Calibri" w:eastAsia="Calibri"/>
        </w:rPr>
        <w:t xml:space="preserve">15 </w:t>
      </w:r>
      <w:r>
        <w:t>日内向主管税务机关申报纳税。纳税人一次性缴税有困难的，可合理确定分期缴纳计划并报主管税务机关备案</w:t>
      </w:r>
      <w:r>
        <w:rPr>
          <w:spacing w:val="-9"/>
        </w:rPr>
        <w:t xml:space="preserve">后，自发生上述应税行为之日起不超过 </w:t>
      </w:r>
      <w:r>
        <w:rPr>
          <w:rFonts w:ascii="Calibri" w:eastAsia="Calibri"/>
        </w:rPr>
        <w:t xml:space="preserve">5 </w:t>
      </w:r>
      <w:r>
        <w:rPr>
          <w:spacing w:val="-6"/>
        </w:rPr>
        <w:t>个公历年度内</w:t>
      </w:r>
      <w:r>
        <w:t>（含</w:t>
      </w:r>
      <w:r>
        <w:rPr>
          <w:spacing w:val="-32"/>
        </w:rPr>
        <w:t>）</w:t>
      </w:r>
      <w:r>
        <w:rPr>
          <w:spacing w:val="-2"/>
        </w:rPr>
        <w:t>分期缴纳个人所得</w:t>
      </w:r>
    </w:p>
    <w:p>
      <w:pPr>
        <w:spacing w:after="0" w:line="364" w:lineRule="auto"/>
        <w:sectPr>
          <w:pgSz w:w="11910" w:h="16840"/>
          <w:pgMar w:top="1540" w:right="0" w:bottom="1380" w:left="0" w:header="965" w:footer="1182" w:gutter="0"/>
          <w:cols w:space="720" w:num="1"/>
        </w:sectPr>
      </w:pPr>
    </w:p>
    <w:p>
      <w:pPr>
        <w:pStyle w:val="3"/>
        <w:spacing w:before="2"/>
        <w:ind w:left="0"/>
        <w:rPr>
          <w:sz w:val="12"/>
        </w:rPr>
      </w:pPr>
    </w:p>
    <w:p>
      <w:pPr>
        <w:pStyle w:val="3"/>
        <w:spacing w:before="67"/>
      </w:pPr>
      <w:r>
        <w:t>税。</w:t>
      </w:r>
    </w:p>
    <w:p>
      <w:pPr>
        <w:pStyle w:val="3"/>
        <w:spacing w:before="160" w:line="364" w:lineRule="auto"/>
        <w:ind w:right="1797" w:firstLine="480"/>
      </w:pPr>
      <w:r>
        <w:rPr>
          <w:spacing w:val="-10"/>
        </w:rPr>
        <w:t>四、个人以非货币性资产投资交易过程中取得现金补价的，现金部分应优先</w:t>
      </w:r>
      <w:r>
        <w:t>用于缴税；现金不足以缴纳的部分，可分期缴纳。</w:t>
      </w:r>
    </w:p>
    <w:p>
      <w:pPr>
        <w:pStyle w:val="3"/>
        <w:spacing w:before="2" w:line="364" w:lineRule="auto"/>
        <w:ind w:right="1945" w:firstLine="480"/>
      </w:pPr>
      <w:r>
        <w:rPr>
          <w:spacing w:val="-1"/>
        </w:rPr>
        <w:t>个人在分期缴税期间转让其持有的上述全部或部分股权，并取得现金收入</w:t>
      </w:r>
      <w:r>
        <w:t>的，该现金收入应优先用于缴纳尚未缴清的税款。</w:t>
      </w:r>
    </w:p>
    <w:p>
      <w:pPr>
        <w:pStyle w:val="3"/>
        <w:spacing w:line="364" w:lineRule="auto"/>
        <w:ind w:right="1797" w:firstLine="480"/>
      </w:pPr>
      <w:r>
        <w:rPr>
          <w:spacing w:val="-11"/>
        </w:rPr>
        <w:t>五、本通知所称非货币性资产，是指现金、银行存款等货币性资产以外的资</w:t>
      </w:r>
      <w:r>
        <w:t>产，包括股权、不动产、技术发明成果以及其他形式的非货币性资产。</w:t>
      </w:r>
    </w:p>
    <w:p>
      <w:pPr>
        <w:pStyle w:val="3"/>
        <w:spacing w:line="364" w:lineRule="auto"/>
        <w:ind w:right="1797" w:firstLine="480"/>
        <w:jc w:val="both"/>
      </w:pPr>
      <w:r>
        <w:rPr>
          <w:spacing w:val="-7"/>
        </w:rPr>
        <w:t>本通知所称非货币性资产投资，包括以非货币性资产出资设立新的企业，以</w:t>
      </w:r>
      <w:r>
        <w:rPr>
          <w:spacing w:val="-6"/>
        </w:rPr>
        <w:t>及以非货币性资产出资参与企业增资扩股、定向增发股票、股权置换、重组改制</w:t>
      </w:r>
      <w:r>
        <w:t>等投资行为。</w:t>
      </w:r>
    </w:p>
    <w:p>
      <w:pPr>
        <w:pStyle w:val="3"/>
        <w:spacing w:before="2"/>
        <w:ind w:left="2280"/>
        <w:jc w:val="both"/>
        <w:rPr>
          <w:rFonts w:ascii="Calibri" w:eastAsia="Calibri"/>
        </w:rPr>
      </w:pPr>
      <w:r>
        <w:t xml:space="preserve">六、本通知规定的分期缴税政策自 </w:t>
      </w:r>
      <w:r>
        <w:rPr>
          <w:rFonts w:ascii="Calibri" w:eastAsia="Calibri"/>
        </w:rPr>
        <w:t xml:space="preserve">2015 </w:t>
      </w:r>
      <w:r>
        <w:t xml:space="preserve">年 </w:t>
      </w:r>
      <w:r>
        <w:rPr>
          <w:rFonts w:ascii="Calibri" w:eastAsia="Calibri"/>
        </w:rPr>
        <w:t xml:space="preserve">4 </w:t>
      </w:r>
      <w:r>
        <w:t xml:space="preserve">月 </w:t>
      </w:r>
      <w:r>
        <w:rPr>
          <w:rFonts w:ascii="Calibri" w:eastAsia="Calibri"/>
        </w:rPr>
        <w:t xml:space="preserve">1 </w:t>
      </w:r>
      <w:r>
        <w:t xml:space="preserve">日起施行。对 </w:t>
      </w:r>
      <w:r>
        <w:rPr>
          <w:rFonts w:ascii="Calibri" w:eastAsia="Calibri"/>
        </w:rPr>
        <w:t xml:space="preserve">2015 </w:t>
      </w:r>
      <w:r>
        <w:t xml:space="preserve">年 </w:t>
      </w:r>
      <w:r>
        <w:rPr>
          <w:rFonts w:ascii="Calibri" w:eastAsia="Calibri"/>
        </w:rPr>
        <w:t>4</w:t>
      </w:r>
    </w:p>
    <w:p>
      <w:pPr>
        <w:pStyle w:val="3"/>
        <w:spacing w:before="160"/>
      </w:pPr>
      <w:r>
        <w:pict>
          <v:shape id="_x0000_s1091" o:spid="_x0000_s1091" o:spt="136" type="#_x0000_t136" style="position:absolute;left:0pt;margin-left:41.25pt;margin-top:24.2pt;height:132pt;width:528.05pt;mso-position-horizontal-relative:page;rotation:20643840f;z-index:-251589632;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t xml:space="preserve">月 </w:t>
      </w:r>
      <w:r>
        <w:rPr>
          <w:rFonts w:ascii="Calibri" w:eastAsia="Calibri"/>
        </w:rPr>
        <w:t xml:space="preserve">1 </w:t>
      </w:r>
      <w:r>
        <w:t>日之前发生的个人非货币性资产投资，尚未进行税收处理且自发生上述应税</w:t>
      </w:r>
    </w:p>
    <w:p>
      <w:pPr>
        <w:pStyle w:val="3"/>
        <w:spacing w:before="161"/>
      </w:pPr>
      <w:r>
        <w:t xml:space="preserve">行为之日起期限未超过 </w:t>
      </w:r>
      <w:r>
        <w:rPr>
          <w:rFonts w:ascii="Calibri" w:eastAsia="Calibri"/>
        </w:rPr>
        <w:t xml:space="preserve">5 </w:t>
      </w:r>
      <w:r>
        <w:t>年的，可在剩余的期限内分期缴纳其应纳税款。</w:t>
      </w:r>
    </w:p>
    <w:p>
      <w:pPr>
        <w:pStyle w:val="8"/>
        <w:numPr>
          <w:ilvl w:val="1"/>
          <w:numId w:val="72"/>
        </w:numPr>
        <w:tabs>
          <w:tab w:val="left" w:pos="2600"/>
        </w:tabs>
        <w:spacing w:before="170" w:after="0" w:line="338" w:lineRule="auto"/>
        <w:ind w:left="1800" w:right="1797" w:firstLine="480"/>
        <w:jc w:val="left"/>
        <w:rPr>
          <w:sz w:val="24"/>
        </w:rPr>
      </w:pPr>
      <w:bookmarkStart w:id="28" w:name="_bookmark15"/>
      <w:bookmarkEnd w:id="28"/>
      <w:r>
        <w:rPr>
          <w:color w:val="333333"/>
          <w:sz w:val="24"/>
        </w:rPr>
        <w:t>《国家税务总局关于个人非货币性资产投资有关个人所得税征管问题的公告》（</w:t>
      </w:r>
      <w:r>
        <w:rPr>
          <w:color w:val="333333"/>
          <w:spacing w:val="-2"/>
          <w:sz w:val="24"/>
        </w:rPr>
        <w:t xml:space="preserve">国家税务总局公告 </w:t>
      </w:r>
      <w:r>
        <w:rPr>
          <w:color w:val="333333"/>
          <w:sz w:val="24"/>
        </w:rPr>
        <w:t>2015</w:t>
      </w:r>
      <w:r>
        <w:rPr>
          <w:color w:val="333333"/>
          <w:spacing w:val="-7"/>
          <w:sz w:val="24"/>
        </w:rPr>
        <w:t xml:space="preserve"> 年第 </w:t>
      </w:r>
      <w:r>
        <w:rPr>
          <w:color w:val="333333"/>
          <w:sz w:val="24"/>
        </w:rPr>
        <w:t>20</w:t>
      </w:r>
      <w:r>
        <w:rPr>
          <w:color w:val="333333"/>
          <w:spacing w:val="-6"/>
          <w:sz w:val="24"/>
        </w:rPr>
        <w:t xml:space="preserve"> 号</w:t>
      </w:r>
      <w:r>
        <w:rPr>
          <w:color w:val="333333"/>
          <w:sz w:val="24"/>
        </w:rPr>
        <w:t>）</w:t>
      </w:r>
    </w:p>
    <w:p>
      <w:pPr>
        <w:pStyle w:val="3"/>
        <w:spacing w:before="0" w:line="364" w:lineRule="auto"/>
        <w:ind w:right="1677" w:firstLine="480"/>
      </w:pPr>
      <w:r>
        <w:rPr>
          <w:spacing w:val="-8"/>
        </w:rPr>
        <w:t xml:space="preserve">为落实国务院第 </w:t>
      </w:r>
      <w:r>
        <w:rPr>
          <w:rFonts w:ascii="Calibri" w:eastAsia="Calibri"/>
        </w:rPr>
        <w:t xml:space="preserve">83 </w:t>
      </w:r>
      <w:r>
        <w:t>次常务会议决定，鼓励和引导民间个人投资，根据《中</w:t>
      </w:r>
      <w:r>
        <w:rPr>
          <w:spacing w:val="-6"/>
        </w:rPr>
        <w:t>华人民共和国个人所得税法》及其实施条例</w:t>
      </w:r>
      <w:r>
        <w:rPr>
          <w:spacing w:val="-14"/>
        </w:rPr>
        <w:t>、《中华人民共和国税收征收管理法》</w:t>
      </w:r>
      <w:r>
        <w:fldChar w:fldCharType="begin"/>
      </w:r>
      <w:r>
        <w:instrText xml:space="preserve"> HYPERLINK "http://www.shui5.cn/article/73/77323.html" \h </w:instrText>
      </w:r>
      <w:r>
        <w:fldChar w:fldCharType="separate"/>
      </w:r>
      <w:r>
        <w:t>及其实施细则、《财政部 国家税务总局关于个人非货币性资产投资有关个人所</w:t>
      </w:r>
      <w:r>
        <w:fldChar w:fldCharType="end"/>
      </w:r>
      <w:r>
        <w:t>得税政策的通知》（财税〔</w:t>
      </w:r>
      <w:r>
        <w:fldChar w:fldCharType="begin"/>
      </w:r>
      <w:r>
        <w:instrText xml:space="preserve"> HYPERLINK "http://www.shui5.cn/article/73/77323.html" \h </w:instrText>
      </w:r>
      <w:r>
        <w:fldChar w:fldCharType="separate"/>
      </w:r>
      <w:r>
        <w:rPr>
          <w:rFonts w:ascii="Calibri" w:eastAsia="Calibri"/>
        </w:rPr>
        <w:t>2015</w:t>
      </w:r>
      <w:r>
        <w:t>〕</w:t>
      </w:r>
      <w:r>
        <w:rPr>
          <w:rFonts w:ascii="Calibri" w:eastAsia="Calibri"/>
        </w:rPr>
        <w:t xml:space="preserve">41 </w:t>
      </w:r>
      <w:r>
        <w:rPr>
          <w:rFonts w:ascii="Calibri" w:eastAsia="Calibri"/>
        </w:rPr>
        <w:fldChar w:fldCharType="end"/>
      </w:r>
      <w:r>
        <w:t>号）规定，现就落实个人非货币性资产投资有关个人所得税征管问题公告如下：</w:t>
      </w:r>
    </w:p>
    <w:p>
      <w:pPr>
        <w:pStyle w:val="3"/>
        <w:spacing w:before="0" w:line="364" w:lineRule="auto"/>
        <w:ind w:right="1797" w:firstLine="480"/>
      </w:pPr>
      <w:r>
        <w:rPr>
          <w:spacing w:val="-12"/>
        </w:rPr>
        <w:t>一、非货币性资产投资个人所得税以发生非货币性资产投资行为并取得被投</w:t>
      </w:r>
      <w:r>
        <w:t>资企业股权的个人为纳税人。</w:t>
      </w:r>
    </w:p>
    <w:p>
      <w:pPr>
        <w:pStyle w:val="3"/>
        <w:spacing w:before="0" w:line="364" w:lineRule="auto"/>
        <w:ind w:left="2280" w:right="1705"/>
      </w:pPr>
      <w:r>
        <w:t>二、非货币性资产投资个人所得税由纳税人向主管税务机关自行申报缴纳。三、纳税人以不动产投资的，以不动产所在地地税机关为主管税务机关；纳</w:t>
      </w:r>
    </w:p>
    <w:p>
      <w:pPr>
        <w:pStyle w:val="3"/>
        <w:spacing w:before="0" w:line="364" w:lineRule="auto"/>
        <w:ind w:right="1797"/>
      </w:pPr>
      <w:r>
        <w:t>税人以其持有的企业股权对外投资的，以该企业所在地地税机关为主管税务机</w:t>
      </w:r>
      <w:r>
        <w:rPr>
          <w:spacing w:val="-11"/>
        </w:rPr>
        <w:t>关；纳税人以其他非货币资产投资的，以被投资企业所在地地税机关为主管税务</w:t>
      </w:r>
      <w:r>
        <w:t>机关。</w:t>
      </w:r>
    </w:p>
    <w:p>
      <w:pPr>
        <w:pStyle w:val="3"/>
        <w:spacing w:before="0"/>
        <w:ind w:left="2280"/>
      </w:pPr>
      <w:r>
        <w:t>四、纳税人非货币性资产投资应纳税所得额为非货币性资产转让收入减除该</w:t>
      </w:r>
    </w:p>
    <w:p>
      <w:pPr>
        <w:spacing w:after="0"/>
        <w:sectPr>
          <w:footerReference r:id="rId12" w:type="default"/>
          <w:pgSz w:w="11910" w:h="16840"/>
          <w:pgMar w:top="1540" w:right="0" w:bottom="1380" w:left="0" w:header="965" w:footer="1182" w:gutter="0"/>
          <w:pgNumType w:start="60"/>
          <w:cols w:space="720" w:num="1"/>
        </w:sectPr>
      </w:pPr>
    </w:p>
    <w:p>
      <w:pPr>
        <w:pStyle w:val="3"/>
        <w:spacing w:before="2"/>
        <w:ind w:left="0"/>
        <w:rPr>
          <w:sz w:val="12"/>
        </w:rPr>
      </w:pPr>
    </w:p>
    <w:p>
      <w:pPr>
        <w:pStyle w:val="3"/>
        <w:spacing w:before="67"/>
      </w:pPr>
      <w:r>
        <w:t>资产原值及合理税费后的余额。</w:t>
      </w:r>
    </w:p>
    <w:p>
      <w:pPr>
        <w:pStyle w:val="3"/>
        <w:spacing w:before="160"/>
        <w:ind w:left="2280"/>
      </w:pPr>
      <w:r>
        <w:t>五、非货币性资产原值为纳税人取得该项资产时实际发生的支出。</w:t>
      </w:r>
    </w:p>
    <w:p>
      <w:pPr>
        <w:pStyle w:val="3"/>
        <w:spacing w:before="161" w:line="364" w:lineRule="auto"/>
        <w:ind w:right="1797"/>
      </w:pPr>
      <w:r>
        <w:rPr>
          <w:spacing w:val="-8"/>
        </w:rPr>
        <w:t>纳税人无法提供完整、准确的非货币性资产原值凭证，不能正确计算非货币性资</w:t>
      </w:r>
      <w:r>
        <w:t>产原值的，主管税务机关可依法核定其非货币性资产原值。</w:t>
      </w:r>
    </w:p>
    <w:p>
      <w:pPr>
        <w:pStyle w:val="3"/>
        <w:spacing w:line="364" w:lineRule="auto"/>
        <w:ind w:right="1797" w:firstLine="480"/>
      </w:pPr>
      <w:r>
        <w:rPr>
          <w:spacing w:val="-12"/>
        </w:rPr>
        <w:t>六、合理税费是指纳税人在非货币性资产投资过程中发生的与资产转移相关</w:t>
      </w:r>
      <w:r>
        <w:t>的税金及合理费用。</w:t>
      </w:r>
    </w:p>
    <w:p>
      <w:pPr>
        <w:pStyle w:val="3"/>
        <w:spacing w:line="364" w:lineRule="auto"/>
        <w:ind w:left="1799" w:right="1797" w:firstLine="480"/>
        <w:jc w:val="both"/>
      </w:pPr>
      <w:r>
        <w:rPr>
          <w:spacing w:val="-10"/>
        </w:rPr>
        <w:t>七、纳税人以股权投资的，该股权原值确认等相关问题依照</w:t>
      </w:r>
      <w:r>
        <w:fldChar w:fldCharType="begin"/>
      </w:r>
      <w:r>
        <w:instrText xml:space="preserve"> HYPERLINK "http://www.shui5.cn/article/5f/75593.html" \h </w:instrText>
      </w:r>
      <w:r>
        <w:fldChar w:fldCharType="separate"/>
      </w:r>
      <w:r>
        <w:rPr>
          <w:spacing w:val="-2"/>
        </w:rPr>
        <w:t>《股权转让所得</w:t>
      </w:r>
      <w:r>
        <w:rPr>
          <w:spacing w:val="-2"/>
        </w:rPr>
        <w:fldChar w:fldCharType="end"/>
      </w:r>
      <w:r>
        <w:rPr>
          <w:spacing w:val="-3"/>
        </w:rPr>
        <w:t>个人所得税管理办法（</w:t>
      </w:r>
      <w:r>
        <w:t>试行</w:t>
      </w:r>
      <w:r>
        <w:rPr>
          <w:spacing w:val="-22"/>
        </w:rPr>
        <w:t>）</w:t>
      </w:r>
      <w:r>
        <w:rPr>
          <w:spacing w:val="-41"/>
        </w:rPr>
        <w:t>》</w:t>
      </w:r>
      <w:r>
        <w:fldChar w:fldCharType="begin"/>
      </w:r>
      <w:r>
        <w:instrText xml:space="preserve"> HYPERLINK "http://www.shui5.cn/article/5f/75593.html" \h </w:instrText>
      </w:r>
      <w:r>
        <w:fldChar w:fldCharType="separate"/>
      </w:r>
      <w:r>
        <w:t>（</w:t>
      </w:r>
      <w:r>
        <w:rPr>
          <w:spacing w:val="-7"/>
        </w:rPr>
        <w:t xml:space="preserve">国家税务总局公告 </w:t>
      </w:r>
      <w:r>
        <w:rPr>
          <w:rFonts w:ascii="Calibri" w:eastAsia="Calibri"/>
        </w:rPr>
        <w:t xml:space="preserve">2014 </w:t>
      </w:r>
      <w:r>
        <w:rPr>
          <w:spacing w:val="-20"/>
        </w:rPr>
        <w:t xml:space="preserve">年第 </w:t>
      </w:r>
      <w:r>
        <w:rPr>
          <w:rFonts w:ascii="Calibri" w:eastAsia="Calibri"/>
        </w:rPr>
        <w:t xml:space="preserve">67 </w:t>
      </w:r>
      <w:r>
        <w:rPr>
          <w:rFonts w:ascii="Calibri" w:eastAsia="Calibri"/>
        </w:rPr>
        <w:fldChar w:fldCharType="end"/>
      </w:r>
      <w:r>
        <w:t>号发布</w:t>
      </w:r>
      <w:r>
        <w:rPr>
          <w:spacing w:val="-20"/>
        </w:rPr>
        <w:t>）</w:t>
      </w:r>
      <w:r>
        <w:rPr>
          <w:spacing w:val="-6"/>
        </w:rPr>
        <w:t>有关</w:t>
      </w:r>
      <w:r>
        <w:t>规定执行。</w:t>
      </w:r>
    </w:p>
    <w:p>
      <w:pPr>
        <w:pStyle w:val="3"/>
        <w:spacing w:before="2" w:line="364" w:lineRule="auto"/>
        <w:ind w:left="1799" w:right="1797" w:firstLine="480"/>
        <w:jc w:val="both"/>
      </w:pPr>
      <w:r>
        <w:pict>
          <v:shape id="_x0000_s1092" o:spid="_x0000_s1092" o:spt="136" type="#_x0000_t136" style="position:absolute;left:0pt;margin-left:41.25pt;margin-top:63.1pt;height:132pt;width:528.05pt;mso-position-horizontal-relative:page;rotation:20643840f;z-index:-251588608;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spacing w:val="-10"/>
        </w:rPr>
        <w:t>八、纳税人非货币性资产投资需要分期缴纳个人所得税的，应于取得被投资</w:t>
      </w:r>
      <w:r>
        <w:rPr>
          <w:spacing w:val="-6"/>
        </w:rPr>
        <w:t xml:space="preserve">企业股权之日的次月 </w:t>
      </w:r>
      <w:r>
        <w:rPr>
          <w:rFonts w:ascii="Calibri" w:eastAsia="Calibri"/>
        </w:rPr>
        <w:t xml:space="preserve">15 </w:t>
      </w:r>
      <w:r>
        <w:t>日内，自行制定缴税计划并向主管税务机关报送《非货</w:t>
      </w:r>
      <w:r>
        <w:rPr>
          <w:spacing w:val="-2"/>
        </w:rPr>
        <w:t>币性资产投资分期缴纳个人所得税备案表》</w:t>
      </w:r>
      <w:r>
        <w:rPr>
          <w:spacing w:val="-3"/>
        </w:rPr>
        <w:t>（</w:t>
      </w:r>
      <w:r>
        <w:t>见附件</w:t>
      </w:r>
      <w:r>
        <w:rPr>
          <w:spacing w:val="-20"/>
        </w:rPr>
        <w:t>）</w:t>
      </w:r>
      <w:r>
        <w:rPr>
          <w:spacing w:val="-8"/>
        </w:rPr>
        <w:t>、纳税人身份证明、投资</w:t>
      </w:r>
      <w:r>
        <w:rPr>
          <w:spacing w:val="-11"/>
        </w:rPr>
        <w:t>协议、非货币性资产评估价格证明材料、能够证明非货币性资产原值及合理税费</w:t>
      </w:r>
      <w:r>
        <w:t>的相关资料。</w:t>
      </w:r>
    </w:p>
    <w:p>
      <w:pPr>
        <w:pStyle w:val="3"/>
        <w:spacing w:before="3"/>
        <w:ind w:left="2279"/>
        <w:jc w:val="both"/>
      </w:pPr>
      <w:r>
        <w:rPr>
          <w:rFonts w:ascii="Calibri" w:eastAsia="Calibri"/>
        </w:rPr>
        <w:t xml:space="preserve">2015 </w:t>
      </w:r>
      <w:r>
        <w:t xml:space="preserve">年 </w:t>
      </w:r>
      <w:r>
        <w:rPr>
          <w:rFonts w:ascii="Calibri" w:eastAsia="Calibri"/>
        </w:rPr>
        <w:t xml:space="preserve">4 </w:t>
      </w:r>
      <w:r>
        <w:t xml:space="preserve">月 </w:t>
      </w:r>
      <w:r>
        <w:rPr>
          <w:rFonts w:ascii="Calibri" w:eastAsia="Calibri"/>
        </w:rPr>
        <w:t xml:space="preserve">1 </w:t>
      </w:r>
      <w:r>
        <w:t xml:space="preserve">日之前发生的非货币性资产投资，期限未超过 </w:t>
      </w:r>
      <w:r>
        <w:rPr>
          <w:rFonts w:ascii="Calibri" w:eastAsia="Calibri"/>
        </w:rPr>
        <w:t xml:space="preserve">5 </w:t>
      </w:r>
      <w:r>
        <w:t>年，尚未进</w:t>
      </w:r>
    </w:p>
    <w:p>
      <w:pPr>
        <w:pStyle w:val="3"/>
        <w:spacing w:before="161" w:line="364" w:lineRule="auto"/>
        <w:ind w:left="1799" w:right="1821"/>
        <w:jc w:val="both"/>
      </w:pPr>
      <w:r>
        <w:rPr>
          <w:spacing w:val="-2"/>
        </w:rPr>
        <w:t xml:space="preserve">行税收处理且需要分期缴纳个人所得税的，纳税人应于本公告下发之日起 </w:t>
      </w:r>
      <w:r>
        <w:rPr>
          <w:rFonts w:ascii="Calibri" w:eastAsia="Calibri"/>
        </w:rPr>
        <w:t xml:space="preserve">30 </w:t>
      </w:r>
      <w:r>
        <w:rPr>
          <w:spacing w:val="-16"/>
        </w:rPr>
        <w:t>日</w:t>
      </w:r>
      <w:r>
        <w:t>内向主管税务机关办理分期缴税备案手续。</w:t>
      </w:r>
    </w:p>
    <w:p>
      <w:pPr>
        <w:pStyle w:val="3"/>
        <w:spacing w:line="364" w:lineRule="auto"/>
        <w:ind w:left="1799" w:right="1797" w:firstLine="480"/>
      </w:pPr>
      <w:r>
        <w:rPr>
          <w:spacing w:val="-10"/>
        </w:rPr>
        <w:t>九、纳税人分期缴税期间提出变更原分期缴税计划的，应重新制定分期缴税</w:t>
      </w:r>
      <w:r>
        <w:t>计划并向主管税务机关重新报送《非货币性资产投资分期缴纳个人所得税备案表》。</w:t>
      </w:r>
    </w:p>
    <w:p>
      <w:pPr>
        <w:pStyle w:val="3"/>
        <w:spacing w:before="2" w:line="364" w:lineRule="auto"/>
        <w:ind w:left="1799" w:right="1797" w:firstLine="480"/>
        <w:jc w:val="both"/>
      </w:pPr>
      <w:r>
        <w:rPr>
          <w:spacing w:val="-10"/>
        </w:rPr>
        <w:t>十、纳税人按分期缴税计划向主管税务机关办理纳税申报时，应提供已在主</w:t>
      </w:r>
      <w:r>
        <w:rPr>
          <w:spacing w:val="-9"/>
        </w:rPr>
        <w:t>管税务机关备案的《非货币性资产投资分期缴纳个人所得税备案表》和本期之前</w:t>
      </w:r>
      <w:r>
        <w:t>各期已缴纳个人所得税的完税凭证。</w:t>
      </w:r>
    </w:p>
    <w:p>
      <w:pPr>
        <w:pStyle w:val="3"/>
        <w:spacing w:line="364" w:lineRule="auto"/>
        <w:ind w:left="1799" w:right="1821" w:firstLine="480"/>
        <w:jc w:val="both"/>
      </w:pPr>
      <w:r>
        <w:rPr>
          <w:spacing w:val="-2"/>
        </w:rPr>
        <w:t xml:space="preserve">十一、纳税人在分期缴税期间转让股权的，应于转让股权之日的次月 </w:t>
      </w:r>
      <w:r>
        <w:rPr>
          <w:rFonts w:ascii="Calibri" w:eastAsia="Calibri"/>
        </w:rPr>
        <w:t xml:space="preserve">15 </w:t>
      </w:r>
      <w:r>
        <w:rPr>
          <w:spacing w:val="-16"/>
        </w:rPr>
        <w:t>日</w:t>
      </w:r>
      <w:r>
        <w:t>内向主管税务机关申报纳税。</w:t>
      </w:r>
    </w:p>
    <w:p>
      <w:pPr>
        <w:pStyle w:val="3"/>
        <w:spacing w:before="2" w:line="364" w:lineRule="auto"/>
        <w:ind w:left="1799" w:right="1797" w:firstLine="480"/>
        <w:jc w:val="both"/>
      </w:pPr>
      <w:r>
        <w:rPr>
          <w:spacing w:val="-12"/>
        </w:rPr>
        <w:t>十二、被投资企业应将纳税人以非货币性资产投入本企业取得股权和分期缴</w:t>
      </w:r>
      <w:r>
        <w:rPr>
          <w:spacing w:val="-3"/>
        </w:rPr>
        <w:t xml:space="preserve">税期间纳税人股权变动情况，分别于相关事项发生后 </w:t>
      </w:r>
      <w:r>
        <w:rPr>
          <w:rFonts w:ascii="Calibri" w:eastAsia="Calibri"/>
        </w:rPr>
        <w:t xml:space="preserve">15 </w:t>
      </w:r>
      <w:r>
        <w:t>日内向主管税务机关报告，并协助税务机关执行公务。</w:t>
      </w:r>
    </w:p>
    <w:p>
      <w:pPr>
        <w:pStyle w:val="3"/>
        <w:ind w:left="2279"/>
      </w:pPr>
      <w:r>
        <w:t>十三、纳税人和被投资企业未按规定备案、缴税和报送资料的，按照《中华</w:t>
      </w:r>
    </w:p>
    <w:p>
      <w:pPr>
        <w:spacing w:after="0"/>
        <w:sectPr>
          <w:pgSz w:w="11910" w:h="16840"/>
          <w:pgMar w:top="1540" w:right="0" w:bottom="1380" w:left="0" w:header="965" w:footer="1182" w:gutter="0"/>
          <w:cols w:space="720" w:num="1"/>
        </w:sectPr>
      </w:pPr>
    </w:p>
    <w:p>
      <w:pPr>
        <w:pStyle w:val="3"/>
        <w:spacing w:before="2"/>
        <w:ind w:left="0"/>
        <w:rPr>
          <w:sz w:val="12"/>
        </w:rPr>
      </w:pPr>
    </w:p>
    <w:p>
      <w:pPr>
        <w:pStyle w:val="3"/>
        <w:spacing w:before="67" w:line="364" w:lineRule="auto"/>
        <w:ind w:left="2280" w:right="5001" w:hanging="480"/>
      </w:pPr>
      <w:r>
        <w:t xml:space="preserve">人民共和国税收征收管理法》及有关规定处理。十四、本公告自 </w:t>
      </w:r>
      <w:r>
        <w:rPr>
          <w:rFonts w:ascii="Calibri" w:eastAsia="Calibri"/>
        </w:rPr>
        <w:t xml:space="preserve">2015 </w:t>
      </w:r>
      <w:r>
        <w:t xml:space="preserve">年 </w:t>
      </w:r>
      <w:r>
        <w:rPr>
          <w:rFonts w:ascii="Calibri" w:eastAsia="Calibri"/>
        </w:rPr>
        <w:t xml:space="preserve">4 </w:t>
      </w:r>
      <w:r>
        <w:t xml:space="preserve">月 </w:t>
      </w:r>
      <w:r>
        <w:rPr>
          <w:rFonts w:ascii="Calibri" w:eastAsia="Calibri"/>
        </w:rPr>
        <w:t xml:space="preserve">1 </w:t>
      </w:r>
      <w:r>
        <w:t>日起施行。特此公告。</w:t>
      </w:r>
    </w:p>
    <w:p>
      <w:pPr>
        <w:pStyle w:val="3"/>
        <w:spacing w:before="0"/>
        <w:ind w:left="0"/>
      </w:pPr>
    </w:p>
    <w:p>
      <w:pPr>
        <w:pStyle w:val="3"/>
        <w:spacing w:before="7"/>
        <w:ind w:left="0"/>
        <w:rPr>
          <w:sz w:val="25"/>
        </w:rPr>
      </w:pPr>
    </w:p>
    <w:p>
      <w:pPr>
        <w:spacing w:before="0"/>
        <w:ind w:left="2280" w:right="0" w:firstLine="0"/>
        <w:jc w:val="left"/>
        <w:outlineLvl w:val="1"/>
        <w:rPr>
          <w:rFonts w:hint="eastAsia" w:ascii="微软雅黑" w:eastAsia="微软雅黑"/>
          <w:b/>
          <w:sz w:val="24"/>
        </w:rPr>
      </w:pPr>
      <w:r>
        <w:rPr>
          <w:rFonts w:hint="eastAsia" w:ascii="微软雅黑" w:eastAsia="微软雅黑"/>
          <w:b/>
          <w:color w:val="333333"/>
          <w:sz w:val="24"/>
        </w:rPr>
        <w:t>【政策依据】企业所得税</w:t>
      </w:r>
    </w:p>
    <w:p>
      <w:pPr>
        <w:pStyle w:val="8"/>
        <w:numPr>
          <w:ilvl w:val="0"/>
          <w:numId w:val="74"/>
        </w:numPr>
        <w:tabs>
          <w:tab w:val="left" w:pos="2481"/>
        </w:tabs>
        <w:spacing w:before="182" w:after="0" w:line="240" w:lineRule="auto"/>
        <w:ind w:left="2480" w:right="0" w:hanging="201"/>
        <w:jc w:val="left"/>
        <w:outlineLvl w:val="2"/>
        <w:rPr>
          <w:sz w:val="24"/>
        </w:rPr>
      </w:pPr>
      <w:bookmarkStart w:id="29" w:name="_bookmark16"/>
      <w:bookmarkEnd w:id="29"/>
      <w:bookmarkStart w:id="30" w:name="_bookmark16"/>
      <w:bookmarkEnd w:id="30"/>
      <w:r>
        <w:rPr>
          <w:color w:val="333333"/>
          <w:sz w:val="24"/>
        </w:rPr>
        <w:t>《中华人民共和国企业所得税法》第二十条</w:t>
      </w:r>
    </w:p>
    <w:p>
      <w:pPr>
        <w:pStyle w:val="3"/>
        <w:spacing w:before="172" w:line="364" w:lineRule="auto"/>
        <w:ind w:right="1797" w:firstLine="480"/>
        <w:jc w:val="both"/>
      </w:pPr>
      <w:r>
        <w:t>第二十条 本章规定的收入、扣除的具体范围、标准和资产的税务处理的具体办法，由国务院财政、税务主管部门规定。</w:t>
      </w:r>
    </w:p>
    <w:p>
      <w:pPr>
        <w:pStyle w:val="8"/>
        <w:numPr>
          <w:ilvl w:val="0"/>
          <w:numId w:val="74"/>
        </w:numPr>
        <w:tabs>
          <w:tab w:val="left" w:pos="2481"/>
        </w:tabs>
        <w:spacing w:before="11" w:after="0" w:line="240" w:lineRule="auto"/>
        <w:ind w:left="2480" w:right="0" w:hanging="201"/>
        <w:jc w:val="left"/>
        <w:outlineLvl w:val="2"/>
        <w:rPr>
          <w:sz w:val="24"/>
        </w:rPr>
      </w:pPr>
      <w:bookmarkStart w:id="31" w:name="_bookmark17"/>
      <w:bookmarkEnd w:id="31"/>
      <w:bookmarkStart w:id="32" w:name="_bookmark17"/>
      <w:bookmarkEnd w:id="32"/>
      <w:r>
        <w:rPr>
          <w:color w:val="333333"/>
          <w:sz w:val="24"/>
        </w:rPr>
        <w:t>《中华人民共和国企业所得税法实施条例》第七十五条</w:t>
      </w:r>
    </w:p>
    <w:p>
      <w:pPr>
        <w:pStyle w:val="3"/>
        <w:spacing w:before="172" w:line="364" w:lineRule="auto"/>
        <w:ind w:right="1797" w:firstLine="480"/>
        <w:jc w:val="both"/>
      </w:pPr>
      <w:r>
        <w:pict>
          <v:shape id="_x0000_s1093" o:spid="_x0000_s1093" o:spt="136" type="#_x0000_t136" style="position:absolute;left:0pt;margin-left:41.25pt;margin-top:40.4pt;height:132pt;width:528.05pt;mso-position-horizontal-relative:page;rotation:20643840f;z-index:-251587584;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spacing w:val="-9"/>
        </w:rPr>
        <w:t>除国务院财政、税务主管部门另有规定外，企业在重组过程中，应当在交易</w:t>
      </w:r>
      <w:r>
        <w:rPr>
          <w:spacing w:val="-6"/>
        </w:rPr>
        <w:t>发生时确认有关资产的转让所得或者损失，相关资产应当按照交易价格重新确定</w:t>
      </w:r>
      <w:r>
        <w:t>计税基础</w:t>
      </w:r>
    </w:p>
    <w:p>
      <w:pPr>
        <w:pStyle w:val="8"/>
        <w:numPr>
          <w:ilvl w:val="0"/>
          <w:numId w:val="74"/>
        </w:numPr>
        <w:tabs>
          <w:tab w:val="left" w:pos="2484"/>
        </w:tabs>
        <w:spacing w:before="11" w:after="0" w:line="338" w:lineRule="auto"/>
        <w:ind w:left="1800" w:right="1797" w:firstLine="480"/>
        <w:jc w:val="both"/>
        <w:outlineLvl w:val="2"/>
        <w:rPr>
          <w:sz w:val="24"/>
        </w:rPr>
      </w:pPr>
      <w:bookmarkStart w:id="33" w:name="_bookmark18"/>
      <w:bookmarkEnd w:id="33"/>
      <w:bookmarkStart w:id="34" w:name="_bookmark18"/>
      <w:bookmarkEnd w:id="34"/>
      <w:r>
        <w:rPr>
          <w:color w:val="333333"/>
          <w:spacing w:val="3"/>
          <w:sz w:val="24"/>
        </w:rPr>
        <w:t>《财政部国家税务总局关于企业重组业务企业所得税处理若干问题的通知》（财税〔2009〕59</w:t>
      </w:r>
      <w:r>
        <w:rPr>
          <w:color w:val="333333"/>
          <w:spacing w:val="-6"/>
          <w:sz w:val="24"/>
        </w:rPr>
        <w:t xml:space="preserve"> 号</w:t>
      </w:r>
      <w:r>
        <w:rPr>
          <w:color w:val="333333"/>
          <w:sz w:val="24"/>
        </w:rPr>
        <w:t>）</w:t>
      </w:r>
    </w:p>
    <w:p>
      <w:pPr>
        <w:pStyle w:val="3"/>
        <w:spacing w:before="0" w:line="298" w:lineRule="exact"/>
        <w:ind w:left="2280"/>
      </w:pPr>
      <w:r>
        <w:t>财税〔</w:t>
      </w:r>
      <w:r>
        <w:rPr>
          <w:rFonts w:ascii="Calibri" w:eastAsia="Calibri"/>
        </w:rPr>
        <w:t>2009</w:t>
      </w:r>
      <w:r>
        <w:t>〕</w:t>
      </w:r>
      <w:r>
        <w:rPr>
          <w:rFonts w:ascii="Calibri" w:eastAsia="Calibri"/>
        </w:rPr>
        <w:t xml:space="preserve">59 </w:t>
      </w:r>
      <w:r>
        <w:t>号</w:t>
      </w:r>
    </w:p>
    <w:p>
      <w:pPr>
        <w:pStyle w:val="3"/>
        <w:spacing w:before="161" w:line="364" w:lineRule="auto"/>
        <w:ind w:right="1795" w:firstLine="480"/>
      </w:pPr>
      <w:r>
        <w:rPr>
          <w:spacing w:val="-8"/>
        </w:rPr>
        <w:t>各省、自治区、直辖市、计划单列市财政厅</w:t>
      </w:r>
      <w:r>
        <w:rPr>
          <w:spacing w:val="-3"/>
        </w:rPr>
        <w:t>（</w:t>
      </w:r>
      <w:r>
        <w:t>局</w:t>
      </w:r>
      <w:r>
        <w:rPr>
          <w:spacing w:val="-12"/>
        </w:rPr>
        <w:t>）</w:t>
      </w:r>
      <w:r>
        <w:rPr>
          <w:spacing w:val="-15"/>
        </w:rPr>
        <w:t>、</w:t>
      </w:r>
      <w:r>
        <w:fldChar w:fldCharType="begin"/>
      </w:r>
      <w:r>
        <w:instrText xml:space="preserve"> HYPERLINK "https://baike.baidu.com/item/%E5%9B%BD%E5%AE%B6%E7%A8%8E%E5%8A%A1%E5%B1%80" \h </w:instrText>
      </w:r>
      <w:r>
        <w:fldChar w:fldCharType="separate"/>
      </w:r>
      <w:r>
        <w:rPr>
          <w:spacing w:val="-2"/>
        </w:rPr>
        <w:t>国家税务局、</w:t>
      </w:r>
      <w:r>
        <w:rPr>
          <w:spacing w:val="-2"/>
        </w:rPr>
        <w:fldChar w:fldCharType="end"/>
      </w:r>
      <w:r>
        <w:rPr>
          <w:spacing w:val="-4"/>
        </w:rPr>
        <w:t>地方税务</w:t>
      </w:r>
      <w:r>
        <w:t>局，新疆生产建设兵团财务局：</w:t>
      </w:r>
    </w:p>
    <w:p>
      <w:pPr>
        <w:pStyle w:val="3"/>
        <w:spacing w:line="364" w:lineRule="auto"/>
        <w:ind w:right="1795" w:firstLine="480"/>
        <w:jc w:val="both"/>
      </w:pPr>
      <w:r>
        <w:rPr>
          <w:spacing w:val="-11"/>
        </w:rPr>
        <w:t>根据《中华人民共和国企业所得税法》第二十条和《中华人民共和国企业所</w:t>
      </w:r>
      <w:r>
        <w:rPr>
          <w:spacing w:val="-6"/>
        </w:rPr>
        <w:t>得税法实施条例》</w:t>
      </w:r>
      <w:r>
        <w:t>（</w:t>
      </w:r>
      <w:r>
        <w:rPr>
          <w:spacing w:val="-11"/>
        </w:rPr>
        <w:t xml:space="preserve">国务院令第 </w:t>
      </w:r>
      <w:r>
        <w:rPr>
          <w:rFonts w:ascii="Calibri" w:eastAsia="Calibri"/>
        </w:rPr>
        <w:t xml:space="preserve">512 </w:t>
      </w:r>
      <w:r>
        <w:t>号</w:t>
      </w:r>
      <w:r>
        <w:rPr>
          <w:spacing w:val="-24"/>
        </w:rPr>
        <w:t>）</w:t>
      </w:r>
      <w:r>
        <w:rPr>
          <w:spacing w:val="-4"/>
        </w:rPr>
        <w:t>第七十五条规定，现就企业重组所涉及</w:t>
      </w:r>
      <w:r>
        <w:t>的企业所得税具体处理问题通知如下：</w:t>
      </w:r>
    </w:p>
    <w:p>
      <w:pPr>
        <w:pStyle w:val="3"/>
        <w:spacing w:before="2" w:line="364" w:lineRule="auto"/>
        <w:ind w:right="1797" w:firstLine="480"/>
        <w:jc w:val="both"/>
      </w:pPr>
      <w:r>
        <w:rPr>
          <w:spacing w:val="-12"/>
        </w:rPr>
        <w:t>一、本通知所称企业重组，是指企业在日常经营活动以外发生的法律结构或</w:t>
      </w:r>
      <w:r>
        <w:rPr>
          <w:spacing w:val="-6"/>
        </w:rPr>
        <w:t>经济结构重大改变的交易，包括企业法律形式改变、债务重组、股权收购、资产</w:t>
      </w:r>
      <w:r>
        <w:t>收购、合并、分立等。</w:t>
      </w:r>
    </w:p>
    <w:p>
      <w:pPr>
        <w:pStyle w:val="3"/>
        <w:spacing w:before="2" w:line="364" w:lineRule="auto"/>
        <w:ind w:right="1797" w:firstLine="480"/>
      </w:pPr>
      <w:r>
        <w:t>（一</w:t>
      </w:r>
      <w:r>
        <w:rPr>
          <w:spacing w:val="-32"/>
        </w:rPr>
        <w:t>）</w:t>
      </w:r>
      <w:r>
        <w:rPr>
          <w:spacing w:val="-7"/>
        </w:rPr>
        <w:t>企业法律形式改变，是指企业注册名称、住所以及企业组织形式等的</w:t>
      </w:r>
      <w:r>
        <w:t>简单改变，但符合本通知规定其他重组的类型除外。</w:t>
      </w:r>
    </w:p>
    <w:p>
      <w:pPr>
        <w:pStyle w:val="3"/>
        <w:spacing w:line="364" w:lineRule="auto"/>
        <w:ind w:right="1797" w:firstLine="480"/>
      </w:pPr>
      <w:r>
        <w:t>（二</w:t>
      </w:r>
      <w:r>
        <w:rPr>
          <w:spacing w:val="-32"/>
        </w:rPr>
        <w:t>）</w:t>
      </w:r>
      <w:r>
        <w:rPr>
          <w:spacing w:val="-9"/>
        </w:rPr>
        <w:t>债务重组，是指在债务人发生财务困难的情况下，债权人按照其与债</w:t>
      </w:r>
      <w:r>
        <w:t>务人达成的书面协议或者法院裁定书，就其债务人的债务作出让步的事项。</w:t>
      </w:r>
    </w:p>
    <w:p>
      <w:pPr>
        <w:spacing w:after="0" w:line="364" w:lineRule="auto"/>
        <w:sectPr>
          <w:pgSz w:w="11910" w:h="16840"/>
          <w:pgMar w:top="1540" w:right="0" w:bottom="1380" w:left="0" w:header="965" w:footer="1182" w:gutter="0"/>
          <w:cols w:space="720" w:num="1"/>
        </w:sectPr>
      </w:pPr>
    </w:p>
    <w:p>
      <w:pPr>
        <w:pStyle w:val="3"/>
        <w:spacing w:before="2"/>
        <w:ind w:left="0"/>
        <w:rPr>
          <w:sz w:val="12"/>
        </w:rPr>
      </w:pPr>
    </w:p>
    <w:p>
      <w:pPr>
        <w:pStyle w:val="3"/>
        <w:spacing w:before="67" w:line="364" w:lineRule="auto"/>
        <w:ind w:right="1797" w:firstLine="480"/>
        <w:jc w:val="both"/>
      </w:pPr>
      <w:r>
        <w:t>（三</w:t>
      </w:r>
      <w:r>
        <w:rPr>
          <w:spacing w:val="-20"/>
        </w:rPr>
        <w:t>）</w:t>
      </w:r>
      <w:r>
        <w:rPr>
          <w:spacing w:val="-6"/>
        </w:rPr>
        <w:t>股权收购，是指一家企业</w:t>
      </w:r>
      <w:r>
        <w:t>（以下称为收购企业</w:t>
      </w:r>
      <w:r>
        <w:rPr>
          <w:spacing w:val="-20"/>
        </w:rPr>
        <w:t>）</w:t>
      </w:r>
      <w:r>
        <w:rPr>
          <w:spacing w:val="-3"/>
        </w:rPr>
        <w:t>购买另一家企业</w:t>
      </w:r>
      <w:r>
        <w:t>（</w:t>
      </w:r>
      <w:r>
        <w:rPr>
          <w:spacing w:val="-14"/>
        </w:rPr>
        <w:t>以</w:t>
      </w:r>
      <w:r>
        <w:t>下称为被收购企业</w:t>
      </w:r>
      <w:r>
        <w:rPr>
          <w:spacing w:val="-32"/>
        </w:rPr>
        <w:t>）</w:t>
      </w:r>
      <w:r>
        <w:rPr>
          <w:spacing w:val="-9"/>
        </w:rPr>
        <w:t>的股权，以实现对被收购企业控制的交易。收购企业支付对</w:t>
      </w:r>
      <w:r>
        <w:t>价的形式包括股权支付、非股权支付或两者的组合。</w:t>
      </w:r>
    </w:p>
    <w:p>
      <w:pPr>
        <w:pStyle w:val="3"/>
        <w:spacing w:before="2" w:line="364" w:lineRule="auto"/>
        <w:ind w:right="1797" w:firstLine="480"/>
        <w:jc w:val="both"/>
      </w:pPr>
      <w:r>
        <w:t>（四</w:t>
      </w:r>
      <w:r>
        <w:rPr>
          <w:spacing w:val="-20"/>
        </w:rPr>
        <w:t>）</w:t>
      </w:r>
      <w:r>
        <w:rPr>
          <w:spacing w:val="-6"/>
        </w:rPr>
        <w:t>资产收购，是指一家企业</w:t>
      </w:r>
      <w:r>
        <w:t>（以下称为受让企业</w:t>
      </w:r>
      <w:r>
        <w:rPr>
          <w:spacing w:val="-20"/>
        </w:rPr>
        <w:t>）</w:t>
      </w:r>
      <w:r>
        <w:rPr>
          <w:spacing w:val="-3"/>
        </w:rPr>
        <w:t>购买另一家企业</w:t>
      </w:r>
      <w:r>
        <w:t>（</w:t>
      </w:r>
      <w:r>
        <w:rPr>
          <w:spacing w:val="-14"/>
        </w:rPr>
        <w:t>以</w:t>
      </w:r>
      <w:r>
        <w:t>下称为转让企业</w:t>
      </w:r>
      <w:r>
        <w:rPr>
          <w:spacing w:val="-48"/>
        </w:rPr>
        <w:t>）</w:t>
      </w:r>
      <w:r>
        <w:rPr>
          <w:spacing w:val="-6"/>
        </w:rPr>
        <w:t>实质经营性资产的交易。受让企业支付对价的形式包括股权支</w:t>
      </w:r>
      <w:r>
        <w:t>付、非股权支付或两者的组合。</w:t>
      </w:r>
    </w:p>
    <w:p>
      <w:pPr>
        <w:pStyle w:val="3"/>
        <w:spacing w:line="364" w:lineRule="auto"/>
        <w:ind w:right="1797" w:firstLine="480"/>
        <w:jc w:val="both"/>
      </w:pPr>
      <w:r>
        <w:t>（五</w:t>
      </w:r>
      <w:r>
        <w:rPr>
          <w:spacing w:val="-24"/>
        </w:rPr>
        <w:t>）</w:t>
      </w:r>
      <w:r>
        <w:rPr>
          <w:spacing w:val="-7"/>
        </w:rPr>
        <w:t>合并，是指一家或多家企业</w:t>
      </w:r>
      <w:r>
        <w:t>（以下称为被合并企业</w:t>
      </w:r>
      <w:r>
        <w:rPr>
          <w:spacing w:val="-24"/>
        </w:rPr>
        <w:t>）</w:t>
      </w:r>
      <w:r>
        <w:rPr>
          <w:spacing w:val="-3"/>
        </w:rPr>
        <w:t>将其全部资产和负债转让给另一家现存或新设企业</w:t>
      </w:r>
      <w:r>
        <w:t>（以下称为合并企业</w:t>
      </w:r>
      <w:r>
        <w:rPr>
          <w:spacing w:val="-32"/>
        </w:rPr>
        <w:t>），</w:t>
      </w:r>
      <w:r>
        <w:rPr>
          <w:spacing w:val="-2"/>
        </w:rPr>
        <w:t>被合并企业股东换取</w:t>
      </w:r>
      <w:r>
        <w:t>合并企业的股权或非股权支付，实现两个或两个以上企业的依法合并。</w:t>
      </w:r>
    </w:p>
    <w:p>
      <w:pPr>
        <w:pStyle w:val="3"/>
        <w:spacing w:before="2" w:line="364" w:lineRule="auto"/>
        <w:ind w:right="1797" w:firstLine="480"/>
        <w:jc w:val="both"/>
      </w:pPr>
      <w:r>
        <w:pict>
          <v:shape id="_x0000_s1094" o:spid="_x0000_s1094" o:spt="136" type="#_x0000_t136" style="position:absolute;left:0pt;margin-left:41.25pt;margin-top:63.1pt;height:132pt;width:528.05pt;mso-position-horizontal-relative:page;rotation:20643840f;z-index:-251586560;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t>（六</w:t>
      </w:r>
      <w:r>
        <w:rPr>
          <w:spacing w:val="-24"/>
        </w:rPr>
        <w:t>）</w:t>
      </w:r>
      <w:r>
        <w:rPr>
          <w:spacing w:val="-7"/>
        </w:rPr>
        <w:t>分立，是指一家企业</w:t>
      </w:r>
      <w:r>
        <w:t>（以下称为被分立企业</w:t>
      </w:r>
      <w:r>
        <w:rPr>
          <w:spacing w:val="-24"/>
        </w:rPr>
        <w:t>）</w:t>
      </w:r>
      <w:r>
        <w:rPr>
          <w:spacing w:val="-2"/>
        </w:rPr>
        <w:t>将部分或全部资产分离</w:t>
      </w:r>
      <w:r>
        <w:rPr>
          <w:spacing w:val="-3"/>
        </w:rPr>
        <w:t>转让给现存或新设的企业</w:t>
      </w:r>
      <w:r>
        <w:t>（以下称为分立企业</w:t>
      </w:r>
      <w:r>
        <w:rPr>
          <w:spacing w:val="-32"/>
        </w:rPr>
        <w:t>），</w:t>
      </w:r>
      <w:r>
        <w:rPr>
          <w:spacing w:val="-2"/>
        </w:rPr>
        <w:t>被分立企业股东换取分立企业</w:t>
      </w:r>
      <w:r>
        <w:t>的股权或非股权支付，实现企业的依法分立。</w:t>
      </w:r>
    </w:p>
    <w:p>
      <w:pPr>
        <w:pStyle w:val="3"/>
        <w:spacing w:before="2" w:line="364" w:lineRule="auto"/>
        <w:ind w:right="1705" w:firstLine="480"/>
      </w:pPr>
      <w:r>
        <w:rPr>
          <w:spacing w:val="-11"/>
        </w:rPr>
        <w:t>二、本通知所称股权支付，是指企业重组中购买、换取资产的一方支付的对</w:t>
      </w:r>
      <w:r>
        <w:rPr>
          <w:spacing w:val="-12"/>
        </w:rPr>
        <w:t xml:space="preserve">价中，以本企业或其控股企业的股权、股份作为支付的形式；所称非股权支付， </w:t>
      </w:r>
      <w:r>
        <w:rPr>
          <w:spacing w:val="-8"/>
        </w:rPr>
        <w:t>是指以本企业的现金、银行存款、应收款项、本企业或其控股企业股权和股份以外的有价证券、存货、固定资产、其他资产以及承担债务等作为支付的形式。</w:t>
      </w:r>
    </w:p>
    <w:p>
      <w:pPr>
        <w:pStyle w:val="3"/>
        <w:spacing w:before="2" w:line="364" w:lineRule="auto"/>
        <w:ind w:right="1797" w:firstLine="480"/>
      </w:pPr>
      <w:r>
        <w:rPr>
          <w:spacing w:val="-12"/>
        </w:rPr>
        <w:t>三、企业重组的税务处理区分不同条件分别适用一般性税务处理规定和特殊</w:t>
      </w:r>
      <w:r>
        <w:t>性税务处理规定。</w:t>
      </w:r>
    </w:p>
    <w:p>
      <w:pPr>
        <w:pStyle w:val="3"/>
        <w:spacing w:before="2" w:line="364" w:lineRule="auto"/>
        <w:ind w:right="1797" w:firstLine="480"/>
      </w:pPr>
      <w:r>
        <w:rPr>
          <w:spacing w:val="-11"/>
        </w:rPr>
        <w:t>四、企业重组，除符合本通知规定适用特殊性税务处理规定的外，按以下规</w:t>
      </w:r>
      <w:r>
        <w:t>定进行税务处理：</w:t>
      </w:r>
    </w:p>
    <w:p>
      <w:pPr>
        <w:pStyle w:val="3"/>
        <w:spacing w:line="364" w:lineRule="auto"/>
        <w:ind w:right="1705" w:firstLine="480"/>
      </w:pPr>
      <w:r>
        <w:t>（一</w:t>
      </w:r>
      <w:r>
        <w:rPr>
          <w:spacing w:val="-32"/>
        </w:rPr>
        <w:t>）</w:t>
      </w:r>
      <w:r>
        <w:rPr>
          <w:spacing w:val="-5"/>
        </w:rPr>
        <w:t>企业由法人转变为个人独资企业、合伙企业等非法人组织，或将登记注册地转移至中华人民共和国境外（包括港澳台地区），</w:t>
      </w:r>
      <w:r>
        <w:rPr>
          <w:spacing w:val="-7"/>
        </w:rPr>
        <w:t>应视同企业进行清算、</w:t>
      </w:r>
      <w:r>
        <w:rPr>
          <w:spacing w:val="-10"/>
        </w:rPr>
        <w:t>分配，股东重新投资成立新企业。企业的全部资产以及股东投资的计税基础均应以公允价值为基础确定。</w:t>
      </w:r>
    </w:p>
    <w:p>
      <w:pPr>
        <w:pStyle w:val="3"/>
        <w:spacing w:before="2" w:line="364" w:lineRule="auto"/>
        <w:ind w:right="1705" w:firstLine="480"/>
      </w:pPr>
      <w:r>
        <w:t>企业发生其他法律形式简单改变的，可直接变更税务登记，除另有规定外， 有关企业所得税纳税事项（包括亏损结转、税收优惠等权益和义务）由变更后企业承继，但因住所发生变化而不符合税收优惠条件的除外。</w:t>
      </w:r>
    </w:p>
    <w:p>
      <w:pPr>
        <w:pStyle w:val="3"/>
        <w:spacing w:before="2"/>
        <w:ind w:left="2280"/>
      </w:pPr>
      <w:r>
        <w:t>（二）企业债务重组，相关交易应按以下规定处理：</w:t>
      </w:r>
    </w:p>
    <w:p>
      <w:pPr>
        <w:spacing w:after="0"/>
        <w:sectPr>
          <w:pgSz w:w="11910" w:h="16840"/>
          <w:pgMar w:top="1540" w:right="0" w:bottom="1380" w:left="0" w:header="965" w:footer="1182" w:gutter="0"/>
          <w:cols w:space="720" w:num="1"/>
        </w:sectPr>
      </w:pPr>
    </w:p>
    <w:p>
      <w:pPr>
        <w:pStyle w:val="3"/>
        <w:spacing w:before="2"/>
        <w:ind w:left="0"/>
        <w:rPr>
          <w:sz w:val="12"/>
        </w:rPr>
      </w:pPr>
    </w:p>
    <w:p>
      <w:pPr>
        <w:pStyle w:val="8"/>
        <w:numPr>
          <w:ilvl w:val="0"/>
          <w:numId w:val="75"/>
        </w:numPr>
        <w:tabs>
          <w:tab w:val="left" w:pos="2464"/>
        </w:tabs>
        <w:spacing w:before="67" w:after="0" w:line="364" w:lineRule="auto"/>
        <w:ind w:left="1800" w:right="1795" w:firstLine="480"/>
        <w:jc w:val="left"/>
        <w:rPr>
          <w:rFonts w:hint="eastAsia" w:ascii="宋体" w:eastAsia="宋体"/>
          <w:sz w:val="24"/>
        </w:rPr>
      </w:pPr>
      <w:r>
        <w:rPr>
          <w:rFonts w:hint="eastAsia" w:ascii="宋体" w:eastAsia="宋体"/>
          <w:spacing w:val="-5"/>
          <w:sz w:val="24"/>
        </w:rPr>
        <w:t>以非货币资产清偿债务，应当分解为转让相关非货币性资产、按非货币性</w:t>
      </w:r>
      <w:r>
        <w:rPr>
          <w:rFonts w:hint="eastAsia" w:ascii="宋体" w:eastAsia="宋体"/>
          <w:sz w:val="24"/>
        </w:rPr>
        <w:t>资产公允价值清偿债务两项业务，确认相关资产的所得或损失。</w:t>
      </w:r>
    </w:p>
    <w:p>
      <w:pPr>
        <w:pStyle w:val="8"/>
        <w:numPr>
          <w:ilvl w:val="0"/>
          <w:numId w:val="75"/>
        </w:numPr>
        <w:tabs>
          <w:tab w:val="left" w:pos="2464"/>
        </w:tabs>
        <w:spacing w:before="1" w:after="0" w:line="364" w:lineRule="auto"/>
        <w:ind w:left="1800" w:right="1795" w:firstLine="480"/>
        <w:jc w:val="left"/>
        <w:rPr>
          <w:rFonts w:hint="eastAsia" w:ascii="宋体" w:eastAsia="宋体"/>
          <w:sz w:val="24"/>
        </w:rPr>
      </w:pPr>
      <w:r>
        <w:rPr>
          <w:rFonts w:hint="eastAsia" w:ascii="宋体" w:eastAsia="宋体"/>
          <w:spacing w:val="-5"/>
          <w:sz w:val="24"/>
        </w:rPr>
        <w:t>发生债权转股权的，应当分解为债务清偿和股权投资两项业务，确认有关</w:t>
      </w:r>
      <w:r>
        <w:rPr>
          <w:rFonts w:hint="eastAsia" w:ascii="宋体" w:eastAsia="宋体"/>
          <w:sz w:val="24"/>
        </w:rPr>
        <w:t>债务清偿所得或损失。</w:t>
      </w:r>
    </w:p>
    <w:p>
      <w:pPr>
        <w:pStyle w:val="8"/>
        <w:numPr>
          <w:ilvl w:val="0"/>
          <w:numId w:val="75"/>
        </w:numPr>
        <w:tabs>
          <w:tab w:val="left" w:pos="2464"/>
        </w:tabs>
        <w:spacing w:before="1" w:after="0" w:line="364" w:lineRule="auto"/>
        <w:ind w:left="1800" w:right="1797" w:firstLine="480"/>
        <w:jc w:val="both"/>
        <w:rPr>
          <w:rFonts w:hint="eastAsia" w:ascii="宋体" w:eastAsia="宋体"/>
          <w:sz w:val="24"/>
        </w:rPr>
      </w:pPr>
      <w:r>
        <w:rPr>
          <w:rFonts w:hint="eastAsia" w:ascii="宋体" w:eastAsia="宋体"/>
          <w:spacing w:val="-4"/>
          <w:sz w:val="24"/>
        </w:rPr>
        <w:t>债务人应当按照支付的债务清偿额低于债务计税基础的差额，确认债务重</w:t>
      </w:r>
      <w:r>
        <w:rPr>
          <w:rFonts w:hint="eastAsia" w:ascii="宋体" w:eastAsia="宋体"/>
          <w:spacing w:val="-10"/>
          <w:sz w:val="24"/>
        </w:rPr>
        <w:t>组所得；债权人应当按照收到的债务清偿额低于债权计税基础的差额，确认债务</w:t>
      </w:r>
      <w:r>
        <w:rPr>
          <w:rFonts w:hint="eastAsia" w:ascii="宋体" w:eastAsia="宋体"/>
          <w:sz w:val="24"/>
        </w:rPr>
        <w:t>重组损失。</w:t>
      </w:r>
    </w:p>
    <w:p>
      <w:pPr>
        <w:pStyle w:val="8"/>
        <w:numPr>
          <w:ilvl w:val="0"/>
          <w:numId w:val="75"/>
        </w:numPr>
        <w:tabs>
          <w:tab w:val="left" w:pos="2464"/>
        </w:tabs>
        <w:spacing w:before="2" w:after="0" w:line="240" w:lineRule="auto"/>
        <w:ind w:left="2463" w:right="0" w:hanging="184"/>
        <w:jc w:val="left"/>
        <w:rPr>
          <w:rFonts w:hint="eastAsia" w:ascii="宋体" w:eastAsia="宋体"/>
          <w:sz w:val="24"/>
        </w:rPr>
      </w:pPr>
      <w:r>
        <w:rPr>
          <w:rFonts w:hint="eastAsia" w:ascii="宋体" w:eastAsia="宋体"/>
          <w:sz w:val="24"/>
        </w:rPr>
        <w:t>债务人的相关所得税纳税事项原则上保持不变。</w:t>
      </w:r>
    </w:p>
    <w:p>
      <w:pPr>
        <w:pStyle w:val="3"/>
        <w:spacing w:before="161"/>
        <w:ind w:left="2280"/>
      </w:pPr>
      <w:r>
        <w:t>（三）企业股权收购、资产收购重组交易，相关交易应按以下规定处理：</w:t>
      </w:r>
    </w:p>
    <w:p>
      <w:pPr>
        <w:pStyle w:val="8"/>
        <w:numPr>
          <w:ilvl w:val="0"/>
          <w:numId w:val="76"/>
        </w:numPr>
        <w:tabs>
          <w:tab w:val="left" w:pos="2464"/>
        </w:tabs>
        <w:spacing w:before="160" w:after="0" w:line="240" w:lineRule="auto"/>
        <w:ind w:left="2463" w:right="0" w:hanging="184"/>
        <w:jc w:val="left"/>
        <w:rPr>
          <w:rFonts w:hint="eastAsia" w:ascii="宋体" w:eastAsia="宋体"/>
          <w:sz w:val="24"/>
        </w:rPr>
      </w:pPr>
      <w:r>
        <w:rPr>
          <w:rFonts w:hint="eastAsia" w:ascii="宋体" w:eastAsia="宋体"/>
          <w:sz w:val="24"/>
        </w:rPr>
        <w:t>被收购方应确认股权、资产转让所得或损失。</w:t>
      </w:r>
    </w:p>
    <w:p>
      <w:pPr>
        <w:pStyle w:val="8"/>
        <w:numPr>
          <w:ilvl w:val="0"/>
          <w:numId w:val="76"/>
        </w:numPr>
        <w:tabs>
          <w:tab w:val="left" w:pos="2464"/>
        </w:tabs>
        <w:spacing w:before="161" w:after="0" w:line="240" w:lineRule="auto"/>
        <w:ind w:left="2463" w:right="0" w:hanging="184"/>
        <w:jc w:val="left"/>
        <w:rPr>
          <w:rFonts w:hint="eastAsia" w:ascii="宋体" w:eastAsia="宋体"/>
          <w:sz w:val="24"/>
        </w:rPr>
      </w:pPr>
      <w:r>
        <w:rPr>
          <w:rFonts w:hint="eastAsia" w:ascii="宋体" w:eastAsia="宋体"/>
          <w:sz w:val="24"/>
        </w:rPr>
        <w:t>收购方取得股权或资产的计税基础应以公允价值为基础确定。</w:t>
      </w:r>
    </w:p>
    <w:p>
      <w:pPr>
        <w:pStyle w:val="8"/>
        <w:numPr>
          <w:ilvl w:val="0"/>
          <w:numId w:val="76"/>
        </w:numPr>
        <w:tabs>
          <w:tab w:val="left" w:pos="2464"/>
        </w:tabs>
        <w:spacing w:before="160" w:after="0" w:line="240" w:lineRule="auto"/>
        <w:ind w:left="2463" w:right="0" w:hanging="184"/>
        <w:jc w:val="left"/>
        <w:rPr>
          <w:rFonts w:hint="eastAsia" w:ascii="宋体" w:eastAsia="宋体"/>
          <w:sz w:val="24"/>
        </w:rPr>
      </w:pPr>
      <w:r>
        <w:pict>
          <v:shape id="_x0000_s1095" o:spid="_x0000_s1095" o:spt="136" type="#_x0000_t136" style="position:absolute;left:0pt;margin-left:41.25pt;margin-top:24.2pt;height:132pt;width:528.05pt;mso-position-horizontal-relative:page;rotation:20643840f;z-index:-251585536;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宋体" w:eastAsia="宋体"/>
          <w:sz w:val="24"/>
        </w:rPr>
        <w:t>被收购企业的相关所得税事项原则上保持不变。</w:t>
      </w:r>
    </w:p>
    <w:p>
      <w:pPr>
        <w:pStyle w:val="3"/>
        <w:spacing w:before="161"/>
        <w:ind w:left="2280"/>
      </w:pPr>
      <w:r>
        <w:t>（四）企业合并，当事各方应按下列规定处理：</w:t>
      </w:r>
    </w:p>
    <w:p>
      <w:pPr>
        <w:pStyle w:val="8"/>
        <w:numPr>
          <w:ilvl w:val="0"/>
          <w:numId w:val="77"/>
        </w:numPr>
        <w:tabs>
          <w:tab w:val="left" w:pos="2464"/>
        </w:tabs>
        <w:spacing w:before="160" w:after="0" w:line="240" w:lineRule="auto"/>
        <w:ind w:left="2463" w:right="0" w:hanging="184"/>
        <w:jc w:val="left"/>
        <w:rPr>
          <w:rFonts w:hint="eastAsia" w:ascii="宋体" w:eastAsia="宋体"/>
          <w:sz w:val="24"/>
        </w:rPr>
      </w:pPr>
      <w:r>
        <w:rPr>
          <w:rFonts w:hint="eastAsia" w:ascii="宋体" w:eastAsia="宋体"/>
          <w:sz w:val="24"/>
        </w:rPr>
        <w:t>合并企业应按公允价值确定接受被合并企业各项资产和负债的计税基础。</w:t>
      </w:r>
    </w:p>
    <w:p>
      <w:pPr>
        <w:pStyle w:val="8"/>
        <w:numPr>
          <w:ilvl w:val="0"/>
          <w:numId w:val="77"/>
        </w:numPr>
        <w:tabs>
          <w:tab w:val="left" w:pos="2464"/>
        </w:tabs>
        <w:spacing w:before="161" w:after="0" w:line="240" w:lineRule="auto"/>
        <w:ind w:left="2463" w:right="0" w:hanging="184"/>
        <w:jc w:val="left"/>
        <w:rPr>
          <w:rFonts w:hint="eastAsia" w:ascii="宋体" w:eastAsia="宋体"/>
          <w:sz w:val="24"/>
        </w:rPr>
      </w:pPr>
      <w:r>
        <w:rPr>
          <w:rFonts w:hint="eastAsia" w:ascii="宋体" w:eastAsia="宋体"/>
          <w:sz w:val="24"/>
        </w:rPr>
        <w:t>被合并企业及其股东都应按清算进行所得税处理。</w:t>
      </w:r>
    </w:p>
    <w:p>
      <w:pPr>
        <w:pStyle w:val="8"/>
        <w:numPr>
          <w:ilvl w:val="0"/>
          <w:numId w:val="77"/>
        </w:numPr>
        <w:tabs>
          <w:tab w:val="left" w:pos="2464"/>
        </w:tabs>
        <w:spacing w:before="160" w:after="0" w:line="240" w:lineRule="auto"/>
        <w:ind w:left="2463" w:right="0" w:hanging="184"/>
        <w:jc w:val="left"/>
        <w:rPr>
          <w:rFonts w:hint="eastAsia" w:ascii="宋体" w:eastAsia="宋体"/>
          <w:sz w:val="24"/>
        </w:rPr>
      </w:pPr>
      <w:r>
        <w:rPr>
          <w:rFonts w:hint="eastAsia" w:ascii="宋体" w:eastAsia="宋体"/>
          <w:sz w:val="24"/>
        </w:rPr>
        <w:t>被合并企业的亏损不得在合并企业结转弥补。</w:t>
      </w:r>
    </w:p>
    <w:p>
      <w:pPr>
        <w:pStyle w:val="3"/>
        <w:spacing w:before="161"/>
        <w:ind w:left="2280"/>
      </w:pPr>
      <w:r>
        <w:t>（五）企业分立，当事各方应按下列规定处理：</w:t>
      </w:r>
    </w:p>
    <w:p>
      <w:pPr>
        <w:pStyle w:val="8"/>
        <w:numPr>
          <w:ilvl w:val="0"/>
          <w:numId w:val="78"/>
        </w:numPr>
        <w:tabs>
          <w:tab w:val="left" w:pos="2464"/>
        </w:tabs>
        <w:spacing w:before="160" w:after="0" w:line="240" w:lineRule="auto"/>
        <w:ind w:left="2463" w:right="0" w:hanging="184"/>
        <w:jc w:val="left"/>
        <w:rPr>
          <w:rFonts w:hint="eastAsia" w:ascii="宋体" w:eastAsia="宋体"/>
          <w:sz w:val="24"/>
        </w:rPr>
      </w:pPr>
      <w:r>
        <w:rPr>
          <w:rFonts w:hint="eastAsia" w:ascii="宋体" w:eastAsia="宋体"/>
          <w:sz w:val="24"/>
        </w:rPr>
        <w:t>被分立企业对分立出去资产应按公允价值确认资产转让所得或损失。</w:t>
      </w:r>
    </w:p>
    <w:p>
      <w:pPr>
        <w:pStyle w:val="8"/>
        <w:numPr>
          <w:ilvl w:val="0"/>
          <w:numId w:val="78"/>
        </w:numPr>
        <w:tabs>
          <w:tab w:val="left" w:pos="2464"/>
        </w:tabs>
        <w:spacing w:before="161" w:after="0" w:line="240" w:lineRule="auto"/>
        <w:ind w:left="2463" w:right="0" w:hanging="184"/>
        <w:jc w:val="left"/>
        <w:rPr>
          <w:rFonts w:hint="eastAsia" w:ascii="宋体" w:eastAsia="宋体"/>
          <w:sz w:val="24"/>
        </w:rPr>
      </w:pPr>
      <w:r>
        <w:rPr>
          <w:rFonts w:hint="eastAsia" w:ascii="宋体" w:eastAsia="宋体"/>
          <w:sz w:val="24"/>
        </w:rPr>
        <w:t>分立企业应按公允价值确认接受资产的计税基础。</w:t>
      </w:r>
    </w:p>
    <w:p>
      <w:pPr>
        <w:pStyle w:val="8"/>
        <w:numPr>
          <w:ilvl w:val="0"/>
          <w:numId w:val="78"/>
        </w:numPr>
        <w:tabs>
          <w:tab w:val="left" w:pos="2464"/>
        </w:tabs>
        <w:spacing w:before="160" w:after="0" w:line="364" w:lineRule="auto"/>
        <w:ind w:left="1800" w:right="1795" w:firstLine="480"/>
        <w:jc w:val="left"/>
        <w:rPr>
          <w:rFonts w:hint="eastAsia" w:ascii="宋体" w:eastAsia="宋体"/>
          <w:sz w:val="24"/>
        </w:rPr>
      </w:pPr>
      <w:r>
        <w:rPr>
          <w:rFonts w:hint="eastAsia" w:ascii="宋体" w:eastAsia="宋体"/>
          <w:spacing w:val="-5"/>
          <w:sz w:val="24"/>
        </w:rPr>
        <w:t>被分立企业继续存在时，其股东取得的对价应视同被分立企业分配进行处</w:t>
      </w:r>
      <w:r>
        <w:rPr>
          <w:rFonts w:hint="eastAsia" w:ascii="宋体" w:eastAsia="宋体"/>
          <w:sz w:val="24"/>
        </w:rPr>
        <w:t>理。</w:t>
      </w:r>
    </w:p>
    <w:p>
      <w:pPr>
        <w:pStyle w:val="8"/>
        <w:numPr>
          <w:ilvl w:val="0"/>
          <w:numId w:val="78"/>
        </w:numPr>
        <w:tabs>
          <w:tab w:val="left" w:pos="2464"/>
        </w:tabs>
        <w:spacing w:before="1" w:after="0" w:line="364" w:lineRule="auto"/>
        <w:ind w:left="1800" w:right="1797" w:firstLine="480"/>
        <w:jc w:val="left"/>
        <w:rPr>
          <w:rFonts w:hint="eastAsia" w:ascii="宋体" w:eastAsia="宋体"/>
          <w:sz w:val="24"/>
        </w:rPr>
      </w:pPr>
      <w:r>
        <w:rPr>
          <w:rFonts w:hint="eastAsia" w:ascii="宋体" w:eastAsia="宋体"/>
          <w:spacing w:val="-4"/>
          <w:sz w:val="24"/>
        </w:rPr>
        <w:t>被分立企业不再继续存在时，被分立企业及其股东都应按清算进行所得税</w:t>
      </w:r>
      <w:r>
        <w:rPr>
          <w:rFonts w:hint="eastAsia" w:ascii="宋体" w:eastAsia="宋体"/>
          <w:sz w:val="24"/>
        </w:rPr>
        <w:t>处理。</w:t>
      </w:r>
    </w:p>
    <w:p>
      <w:pPr>
        <w:pStyle w:val="8"/>
        <w:numPr>
          <w:ilvl w:val="0"/>
          <w:numId w:val="78"/>
        </w:numPr>
        <w:tabs>
          <w:tab w:val="left" w:pos="2464"/>
        </w:tabs>
        <w:spacing w:before="1" w:after="0" w:line="240" w:lineRule="auto"/>
        <w:ind w:left="2463" w:right="0" w:hanging="184"/>
        <w:jc w:val="left"/>
        <w:rPr>
          <w:rFonts w:hint="eastAsia" w:ascii="宋体" w:eastAsia="宋体"/>
          <w:sz w:val="24"/>
        </w:rPr>
      </w:pPr>
      <w:r>
        <w:rPr>
          <w:rFonts w:hint="eastAsia" w:ascii="宋体" w:eastAsia="宋体"/>
          <w:sz w:val="24"/>
        </w:rPr>
        <w:t>企业分立相关企业的亏损不得相互结转弥补。</w:t>
      </w:r>
    </w:p>
    <w:p>
      <w:pPr>
        <w:pStyle w:val="3"/>
        <w:spacing w:before="161"/>
        <w:ind w:left="2280"/>
      </w:pPr>
      <w:r>
        <w:t>五、企业重组同时符合下列条件的，适用特殊性税务处理规定：</w:t>
      </w:r>
    </w:p>
    <w:p>
      <w:pPr>
        <w:pStyle w:val="3"/>
        <w:spacing w:before="160" w:line="364" w:lineRule="auto"/>
        <w:ind w:right="1797" w:firstLine="480"/>
      </w:pPr>
      <w:r>
        <w:t>（一</w:t>
      </w:r>
      <w:r>
        <w:rPr>
          <w:spacing w:val="-32"/>
        </w:rPr>
        <w:t>）</w:t>
      </w:r>
      <w:r>
        <w:rPr>
          <w:spacing w:val="-7"/>
        </w:rPr>
        <w:t>具有合理的商业目的，且不以减少、免除或者推迟缴纳税款为主要目</w:t>
      </w:r>
      <w:r>
        <w:t>的。</w:t>
      </w:r>
    </w:p>
    <w:p>
      <w:pPr>
        <w:pStyle w:val="3"/>
        <w:spacing w:before="2"/>
        <w:ind w:left="2280"/>
      </w:pPr>
      <w:r>
        <w:t>（二）被收购、合并或分立部分的资产或股权比例符合本通知规定的比例。</w:t>
      </w:r>
    </w:p>
    <w:p>
      <w:pPr>
        <w:pStyle w:val="3"/>
        <w:spacing w:before="160"/>
        <w:ind w:left="2280"/>
      </w:pPr>
      <w:r>
        <w:t>（三</w:t>
      </w:r>
      <w:r>
        <w:rPr>
          <w:spacing w:val="-99"/>
        </w:rPr>
        <w:t>）</w:t>
      </w:r>
      <w:r>
        <w:rPr>
          <w:spacing w:val="-7"/>
        </w:rPr>
        <w:t xml:space="preserve">企业重组后的连续 </w:t>
      </w:r>
      <w:r>
        <w:rPr>
          <w:rFonts w:ascii="Calibri" w:eastAsia="Calibri"/>
        </w:rPr>
        <w:t>12</w:t>
      </w:r>
      <w:r>
        <w:rPr>
          <w:rFonts w:ascii="Calibri" w:eastAsia="Calibri"/>
          <w:spacing w:val="6"/>
        </w:rPr>
        <w:t xml:space="preserve"> </w:t>
      </w:r>
      <w:r>
        <w:t>个月内不改变重组资产原来的实质性经营活动。</w:t>
      </w:r>
    </w:p>
    <w:p>
      <w:pPr>
        <w:spacing w:after="0"/>
        <w:sectPr>
          <w:pgSz w:w="11910" w:h="16840"/>
          <w:pgMar w:top="1540" w:right="0" w:bottom="1380" w:left="0" w:header="965" w:footer="1182" w:gutter="0"/>
          <w:cols w:space="720" w:num="1"/>
        </w:sectPr>
      </w:pPr>
    </w:p>
    <w:p>
      <w:pPr>
        <w:pStyle w:val="3"/>
        <w:spacing w:before="2"/>
        <w:ind w:left="0"/>
        <w:rPr>
          <w:sz w:val="12"/>
        </w:rPr>
      </w:pPr>
    </w:p>
    <w:p>
      <w:pPr>
        <w:pStyle w:val="3"/>
        <w:spacing w:before="67"/>
        <w:ind w:left="2280"/>
      </w:pPr>
      <w:r>
        <w:t>（四）重组交易对价中涉及股权支付金额符合本通知规定比例。</w:t>
      </w:r>
    </w:p>
    <w:p>
      <w:pPr>
        <w:pStyle w:val="3"/>
        <w:spacing w:before="160" w:line="364" w:lineRule="auto"/>
        <w:ind w:right="1744" w:firstLine="480"/>
      </w:pPr>
      <w:r>
        <w:t xml:space="preserve">（五）企业重组中取得股权支付的原主要股东，在重组后连续 </w:t>
      </w:r>
      <w:r>
        <w:rPr>
          <w:rFonts w:ascii="Calibri" w:eastAsia="Calibri"/>
        </w:rPr>
        <w:t xml:space="preserve">12 </w:t>
      </w:r>
      <w:r>
        <w:t>个月内， 不得转让所取得的股权。</w:t>
      </w:r>
    </w:p>
    <w:p>
      <w:pPr>
        <w:pStyle w:val="3"/>
        <w:spacing w:before="2" w:line="364" w:lineRule="auto"/>
        <w:ind w:right="1797" w:firstLine="480"/>
      </w:pPr>
      <w:r>
        <w:rPr>
          <w:spacing w:val="-10"/>
        </w:rPr>
        <w:t>六、企业重组符合本通知第五条规定条件的，交易各方对其交易中的股权支</w:t>
      </w:r>
      <w:r>
        <w:t>付部分，可以按以下规定进行特殊性税务处理：</w:t>
      </w:r>
    </w:p>
    <w:p>
      <w:pPr>
        <w:pStyle w:val="3"/>
        <w:ind w:left="2280"/>
        <w:rPr>
          <w:rFonts w:ascii="Calibri" w:eastAsia="Calibri"/>
        </w:rPr>
      </w:pPr>
      <w:r>
        <w:t xml:space="preserve">（一）企业债务重组确认的应纳税所得额占该企业当年应纳税所得额 </w:t>
      </w:r>
      <w:r>
        <w:rPr>
          <w:rFonts w:ascii="Calibri" w:eastAsia="Calibri"/>
        </w:rPr>
        <w:t>50%</w:t>
      </w:r>
    </w:p>
    <w:p>
      <w:pPr>
        <w:pStyle w:val="3"/>
        <w:spacing w:before="160"/>
        <w:jc w:val="both"/>
      </w:pPr>
      <w:r>
        <w:t xml:space="preserve">以上，可以在 </w:t>
      </w:r>
      <w:r>
        <w:rPr>
          <w:rFonts w:ascii="Calibri" w:eastAsia="Calibri"/>
        </w:rPr>
        <w:t xml:space="preserve">5 </w:t>
      </w:r>
      <w:r>
        <w:t>个纳税年度的期间内，均匀计入各年度的应纳税所得额。</w:t>
      </w:r>
    </w:p>
    <w:p>
      <w:pPr>
        <w:pStyle w:val="3"/>
        <w:spacing w:before="161" w:line="364" w:lineRule="auto"/>
        <w:ind w:right="1797" w:firstLine="480"/>
        <w:jc w:val="both"/>
      </w:pPr>
      <w:r>
        <w:rPr>
          <w:spacing w:val="-9"/>
        </w:rPr>
        <w:t>企业发生债权转股权业务，对债务清偿和股权投资两项业务暂不确认有关债务清偿所得或损失，股权投资的计税基础以原债权的计税基础确定。企业的其他</w:t>
      </w:r>
      <w:r>
        <w:t>相关所得税事项保持不变。</w:t>
      </w:r>
    </w:p>
    <w:p>
      <w:pPr>
        <w:pStyle w:val="3"/>
        <w:spacing w:before="2" w:line="364" w:lineRule="auto"/>
        <w:ind w:right="1708" w:firstLine="480"/>
        <w:jc w:val="both"/>
      </w:pPr>
      <w:r>
        <w:pict>
          <v:shape id="_x0000_s1096" o:spid="_x0000_s1096" o:spt="136" type="#_x0000_t136" style="position:absolute;left:0pt;margin-left:41.25pt;margin-top:39.7pt;height:132pt;width:528.05pt;mso-position-horizontal-relative:page;rotation:20643840f;z-index:-251584512;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t>（二）</w:t>
      </w:r>
      <w:r>
        <w:rPr>
          <w:spacing w:val="-3"/>
        </w:rPr>
        <w:t xml:space="preserve">股权收购，收购企业购买的股权不低于被收购企业全部股权的 </w:t>
      </w:r>
      <w:r>
        <w:rPr>
          <w:rFonts w:ascii="Calibri" w:eastAsia="Calibri"/>
          <w:spacing w:val="-5"/>
        </w:rPr>
        <w:t>75%</w:t>
      </w:r>
      <w:r>
        <w:rPr>
          <w:spacing w:val="-5"/>
        </w:rPr>
        <w:t xml:space="preserve">， </w:t>
      </w:r>
      <w:r>
        <w:rPr>
          <w:spacing w:val="-2"/>
        </w:rPr>
        <w:t xml:space="preserve">且收购企业在该股权收购发生时的股权支付金额不低于其交易支付总额的 </w:t>
      </w:r>
      <w:r>
        <w:rPr>
          <w:rFonts w:ascii="Calibri" w:eastAsia="Calibri"/>
          <w:spacing w:val="-5"/>
        </w:rPr>
        <w:t>85%</w:t>
      </w:r>
      <w:r>
        <w:rPr>
          <w:spacing w:val="-5"/>
        </w:rPr>
        <w:t xml:space="preserve">， </w:t>
      </w:r>
      <w:r>
        <w:t>可以选择按以下规定处理：</w:t>
      </w:r>
    </w:p>
    <w:p>
      <w:pPr>
        <w:pStyle w:val="8"/>
        <w:numPr>
          <w:ilvl w:val="0"/>
          <w:numId w:val="79"/>
        </w:numPr>
        <w:tabs>
          <w:tab w:val="left" w:pos="2464"/>
        </w:tabs>
        <w:spacing w:before="1" w:after="0" w:line="364" w:lineRule="auto"/>
        <w:ind w:left="1800" w:right="1797" w:firstLine="480"/>
        <w:jc w:val="left"/>
        <w:rPr>
          <w:rFonts w:hint="eastAsia" w:ascii="宋体" w:eastAsia="宋体"/>
          <w:sz w:val="24"/>
        </w:rPr>
      </w:pPr>
      <w:r>
        <w:rPr>
          <w:rFonts w:hint="eastAsia" w:ascii="宋体" w:eastAsia="宋体"/>
          <w:spacing w:val="-4"/>
          <w:sz w:val="24"/>
        </w:rPr>
        <w:t>被收购企业的股东取得收购企业股权的计税基础，以被收购股权的原有计</w:t>
      </w:r>
      <w:r>
        <w:rPr>
          <w:rFonts w:hint="eastAsia" w:ascii="宋体" w:eastAsia="宋体"/>
          <w:sz w:val="24"/>
        </w:rPr>
        <w:t>税基础确定。</w:t>
      </w:r>
    </w:p>
    <w:p>
      <w:pPr>
        <w:pStyle w:val="8"/>
        <w:numPr>
          <w:ilvl w:val="0"/>
          <w:numId w:val="79"/>
        </w:numPr>
        <w:tabs>
          <w:tab w:val="left" w:pos="2464"/>
        </w:tabs>
        <w:spacing w:before="2" w:after="0" w:line="364" w:lineRule="auto"/>
        <w:ind w:left="1800" w:right="1797" w:firstLine="480"/>
        <w:jc w:val="left"/>
        <w:rPr>
          <w:rFonts w:hint="eastAsia" w:ascii="宋体" w:eastAsia="宋体"/>
          <w:sz w:val="24"/>
        </w:rPr>
      </w:pPr>
      <w:r>
        <w:rPr>
          <w:rFonts w:hint="eastAsia" w:ascii="宋体" w:eastAsia="宋体"/>
          <w:spacing w:val="-3"/>
          <w:sz w:val="24"/>
        </w:rPr>
        <w:t>收购企业取得被收购企业股权的计税基础，以被收购股权的原有计税基础</w:t>
      </w:r>
      <w:r>
        <w:rPr>
          <w:rFonts w:hint="eastAsia" w:ascii="宋体" w:eastAsia="宋体"/>
          <w:sz w:val="24"/>
        </w:rPr>
        <w:t>确定。</w:t>
      </w:r>
    </w:p>
    <w:p>
      <w:pPr>
        <w:pStyle w:val="8"/>
        <w:numPr>
          <w:ilvl w:val="0"/>
          <w:numId w:val="79"/>
        </w:numPr>
        <w:tabs>
          <w:tab w:val="left" w:pos="2464"/>
        </w:tabs>
        <w:spacing w:before="1" w:after="0" w:line="364" w:lineRule="auto"/>
        <w:ind w:left="1800" w:right="1795" w:firstLine="480"/>
        <w:jc w:val="left"/>
        <w:rPr>
          <w:rFonts w:hint="eastAsia" w:ascii="宋体" w:eastAsia="宋体"/>
          <w:sz w:val="24"/>
        </w:rPr>
      </w:pPr>
      <w:r>
        <w:rPr>
          <w:rFonts w:hint="eastAsia" w:ascii="宋体" w:eastAsia="宋体"/>
          <w:spacing w:val="-7"/>
          <w:sz w:val="24"/>
        </w:rPr>
        <w:t>收购企业、被收购企业的原有各项资产和负债的计税基础和其他相关所得</w:t>
      </w:r>
      <w:r>
        <w:rPr>
          <w:rFonts w:hint="eastAsia" w:ascii="宋体" w:eastAsia="宋体"/>
          <w:sz w:val="24"/>
        </w:rPr>
        <w:t>税事项保持不变。</w:t>
      </w:r>
    </w:p>
    <w:p>
      <w:pPr>
        <w:pStyle w:val="3"/>
        <w:spacing w:line="364" w:lineRule="auto"/>
        <w:ind w:right="1795" w:firstLine="480"/>
        <w:jc w:val="both"/>
      </w:pPr>
      <w:r>
        <w:t>（三</w:t>
      </w:r>
      <w:r>
        <w:rPr>
          <w:spacing w:val="-32"/>
        </w:rPr>
        <w:t>）</w:t>
      </w:r>
      <w:r>
        <w:rPr>
          <w:spacing w:val="-8"/>
        </w:rPr>
        <w:t xml:space="preserve">资产收购，受让企业收购的资产不低于转让企业全部资产的 </w:t>
      </w:r>
      <w:r>
        <w:rPr>
          <w:rFonts w:ascii="Calibri" w:eastAsia="Calibri"/>
          <w:spacing w:val="-8"/>
        </w:rPr>
        <w:t>75%</w:t>
      </w:r>
      <w:r>
        <w:rPr>
          <w:spacing w:val="-11"/>
        </w:rPr>
        <w:t>，且</w:t>
      </w:r>
      <w:r>
        <w:rPr>
          <w:spacing w:val="-2"/>
        </w:rPr>
        <w:t xml:space="preserve">受让企业在该资产收购发生时的股权支付金额不低于其交易支付总额的 </w:t>
      </w:r>
      <w:r>
        <w:rPr>
          <w:rFonts w:ascii="Calibri" w:eastAsia="Calibri"/>
          <w:spacing w:val="-23"/>
        </w:rPr>
        <w:t>85%</w:t>
      </w:r>
      <w:r>
        <w:rPr>
          <w:spacing w:val="-18"/>
        </w:rPr>
        <w:t>，可</w:t>
      </w:r>
      <w:r>
        <w:t>以选择按以下规定处理：</w:t>
      </w:r>
    </w:p>
    <w:p>
      <w:pPr>
        <w:pStyle w:val="8"/>
        <w:numPr>
          <w:ilvl w:val="0"/>
          <w:numId w:val="80"/>
        </w:numPr>
        <w:tabs>
          <w:tab w:val="left" w:pos="2464"/>
        </w:tabs>
        <w:spacing w:before="2" w:after="0" w:line="364" w:lineRule="auto"/>
        <w:ind w:left="1800" w:right="1797" w:firstLine="480"/>
        <w:jc w:val="left"/>
        <w:rPr>
          <w:rFonts w:hint="eastAsia" w:ascii="宋体" w:eastAsia="宋体"/>
          <w:sz w:val="24"/>
        </w:rPr>
      </w:pPr>
      <w:r>
        <w:rPr>
          <w:rFonts w:hint="eastAsia" w:ascii="宋体" w:eastAsia="宋体"/>
          <w:spacing w:val="-3"/>
          <w:sz w:val="24"/>
        </w:rPr>
        <w:t>转让企业取得受让企业股权的计税基础，以被转让资产的原有计税基础确</w:t>
      </w:r>
      <w:r>
        <w:rPr>
          <w:rFonts w:hint="eastAsia" w:ascii="宋体" w:eastAsia="宋体"/>
          <w:sz w:val="24"/>
        </w:rPr>
        <w:t>定。</w:t>
      </w:r>
    </w:p>
    <w:p>
      <w:pPr>
        <w:pStyle w:val="8"/>
        <w:numPr>
          <w:ilvl w:val="0"/>
          <w:numId w:val="80"/>
        </w:numPr>
        <w:tabs>
          <w:tab w:val="left" w:pos="2464"/>
        </w:tabs>
        <w:spacing w:before="1" w:after="0" w:line="364" w:lineRule="auto"/>
        <w:ind w:left="1800" w:right="1797" w:firstLine="480"/>
        <w:jc w:val="left"/>
        <w:rPr>
          <w:rFonts w:hint="eastAsia" w:ascii="宋体" w:eastAsia="宋体"/>
          <w:sz w:val="24"/>
        </w:rPr>
      </w:pPr>
      <w:r>
        <w:rPr>
          <w:rFonts w:hint="eastAsia" w:ascii="宋体" w:eastAsia="宋体"/>
          <w:spacing w:val="-3"/>
          <w:sz w:val="24"/>
        </w:rPr>
        <w:t>受让企业取得转让企业资产的计税基础，以被转让资产的原有计税基础确</w:t>
      </w:r>
      <w:r>
        <w:rPr>
          <w:rFonts w:hint="eastAsia" w:ascii="宋体" w:eastAsia="宋体"/>
          <w:sz w:val="24"/>
        </w:rPr>
        <w:t>定。</w:t>
      </w:r>
    </w:p>
    <w:p>
      <w:pPr>
        <w:pStyle w:val="3"/>
        <w:spacing w:line="364" w:lineRule="auto"/>
        <w:ind w:right="1795" w:firstLine="480"/>
        <w:jc w:val="both"/>
      </w:pPr>
      <w:r>
        <w:t>（四</w:t>
      </w:r>
      <w:r>
        <w:rPr>
          <w:spacing w:val="-48"/>
        </w:rPr>
        <w:t>）</w:t>
      </w:r>
      <w:r>
        <w:rPr>
          <w:spacing w:val="-8"/>
        </w:rPr>
        <w:t>企业合并，企业股东在该企业合并发生时取得的股权支付金额不低于</w:t>
      </w:r>
      <w:r>
        <w:rPr>
          <w:spacing w:val="-7"/>
        </w:rPr>
        <w:t xml:space="preserve">其交易支付总额的 </w:t>
      </w:r>
      <w:r>
        <w:rPr>
          <w:rFonts w:ascii="Calibri" w:eastAsia="Calibri"/>
          <w:spacing w:val="-12"/>
        </w:rPr>
        <w:t>85%</w:t>
      </w:r>
      <w:r>
        <w:rPr>
          <w:spacing w:val="-6"/>
        </w:rPr>
        <w:t>，以及同一控制下且不需要支付对价的企业合并，可以选</w:t>
      </w:r>
      <w:r>
        <w:t>择按以下规定处理：</w:t>
      </w:r>
    </w:p>
    <w:p>
      <w:pPr>
        <w:spacing w:after="0" w:line="364" w:lineRule="auto"/>
        <w:jc w:val="both"/>
        <w:sectPr>
          <w:pgSz w:w="11910" w:h="16840"/>
          <w:pgMar w:top="1540" w:right="0" w:bottom="1380" w:left="0" w:header="965" w:footer="1182" w:gutter="0"/>
          <w:cols w:space="720" w:num="1"/>
        </w:sectPr>
      </w:pPr>
    </w:p>
    <w:p>
      <w:pPr>
        <w:pStyle w:val="3"/>
        <w:spacing w:before="2"/>
        <w:ind w:left="0"/>
        <w:rPr>
          <w:sz w:val="12"/>
        </w:rPr>
      </w:pPr>
    </w:p>
    <w:p>
      <w:pPr>
        <w:pStyle w:val="8"/>
        <w:numPr>
          <w:ilvl w:val="0"/>
          <w:numId w:val="81"/>
        </w:numPr>
        <w:tabs>
          <w:tab w:val="left" w:pos="2464"/>
        </w:tabs>
        <w:spacing w:before="67" w:after="0" w:line="364" w:lineRule="auto"/>
        <w:ind w:left="1800" w:right="1797" w:firstLine="480"/>
        <w:jc w:val="left"/>
        <w:rPr>
          <w:rFonts w:hint="eastAsia" w:ascii="宋体" w:eastAsia="宋体"/>
          <w:sz w:val="24"/>
        </w:rPr>
      </w:pPr>
      <w:r>
        <w:rPr>
          <w:rFonts w:hint="eastAsia" w:ascii="宋体" w:eastAsia="宋体"/>
          <w:spacing w:val="-4"/>
          <w:sz w:val="24"/>
        </w:rPr>
        <w:t>合并企业接受被合并企业资产和负债的计税基础，以被合并企业的原有计</w:t>
      </w:r>
      <w:r>
        <w:rPr>
          <w:rFonts w:hint="eastAsia" w:ascii="宋体" w:eastAsia="宋体"/>
          <w:sz w:val="24"/>
        </w:rPr>
        <w:t>税基础确定。</w:t>
      </w:r>
    </w:p>
    <w:p>
      <w:pPr>
        <w:pStyle w:val="8"/>
        <w:numPr>
          <w:ilvl w:val="0"/>
          <w:numId w:val="81"/>
        </w:numPr>
        <w:tabs>
          <w:tab w:val="left" w:pos="2464"/>
        </w:tabs>
        <w:spacing w:before="1" w:after="0" w:line="240" w:lineRule="auto"/>
        <w:ind w:left="2463" w:right="0" w:hanging="184"/>
        <w:jc w:val="left"/>
        <w:rPr>
          <w:rFonts w:hint="eastAsia" w:ascii="宋体" w:eastAsia="宋体"/>
          <w:sz w:val="24"/>
        </w:rPr>
      </w:pPr>
      <w:r>
        <w:rPr>
          <w:rFonts w:hint="eastAsia" w:ascii="宋体" w:eastAsia="宋体"/>
          <w:sz w:val="24"/>
        </w:rPr>
        <w:t>被合并企业合并前的相关所得税事项由合并企业承继。</w:t>
      </w:r>
    </w:p>
    <w:p>
      <w:pPr>
        <w:pStyle w:val="8"/>
        <w:numPr>
          <w:ilvl w:val="0"/>
          <w:numId w:val="81"/>
        </w:numPr>
        <w:tabs>
          <w:tab w:val="left" w:pos="2465"/>
        </w:tabs>
        <w:spacing w:before="161" w:after="0" w:line="240" w:lineRule="auto"/>
        <w:ind w:left="2464" w:right="0" w:hanging="185"/>
        <w:jc w:val="left"/>
        <w:rPr>
          <w:rFonts w:hint="eastAsia" w:ascii="宋体" w:eastAsia="宋体"/>
          <w:sz w:val="24"/>
        </w:rPr>
      </w:pPr>
      <w:r>
        <w:rPr>
          <w:rFonts w:hint="eastAsia" w:ascii="宋体" w:eastAsia="宋体"/>
          <w:sz w:val="24"/>
        </w:rPr>
        <w:t>可由合并企业弥补的被合并企业亏损的限额</w:t>
      </w:r>
      <w:r>
        <w:rPr>
          <w:rFonts w:ascii="Calibri" w:eastAsia="Calibri"/>
          <w:sz w:val="24"/>
        </w:rPr>
        <w:t>=</w:t>
      </w:r>
      <w:r>
        <w:rPr>
          <w:rFonts w:hint="eastAsia" w:ascii="宋体" w:eastAsia="宋体"/>
          <w:sz w:val="24"/>
        </w:rPr>
        <w:t>被合并企业净资产公允价值</w:t>
      </w:r>
    </w:p>
    <w:p>
      <w:pPr>
        <w:pStyle w:val="3"/>
        <w:spacing w:before="160"/>
      </w:pPr>
      <w:r>
        <w:rPr>
          <w:rFonts w:ascii="Calibri" w:hAnsi="Calibri" w:eastAsia="Calibri"/>
        </w:rPr>
        <w:t>×</w:t>
      </w:r>
      <w:r>
        <w:t>截至合并业务发生当年年末国家发行的最长期限的国债利率。</w:t>
      </w:r>
    </w:p>
    <w:p>
      <w:pPr>
        <w:pStyle w:val="8"/>
        <w:numPr>
          <w:ilvl w:val="0"/>
          <w:numId w:val="81"/>
        </w:numPr>
        <w:tabs>
          <w:tab w:val="left" w:pos="2464"/>
        </w:tabs>
        <w:spacing w:before="161" w:after="0" w:line="364" w:lineRule="auto"/>
        <w:ind w:left="1800" w:right="1797" w:firstLine="480"/>
        <w:jc w:val="left"/>
        <w:rPr>
          <w:rFonts w:hint="eastAsia" w:ascii="宋体" w:eastAsia="宋体"/>
          <w:sz w:val="24"/>
        </w:rPr>
      </w:pPr>
      <w:r>
        <w:rPr>
          <w:rFonts w:hint="eastAsia" w:ascii="宋体" w:eastAsia="宋体"/>
          <w:spacing w:val="-3"/>
          <w:sz w:val="24"/>
        </w:rPr>
        <w:t>被合并企业股东取得合并企业股权的计税基础，以其原持有的被合并企业</w:t>
      </w:r>
      <w:r>
        <w:rPr>
          <w:rFonts w:hint="eastAsia" w:ascii="宋体" w:eastAsia="宋体"/>
          <w:sz w:val="24"/>
        </w:rPr>
        <w:t>股权的计税基础确定。</w:t>
      </w:r>
    </w:p>
    <w:p>
      <w:pPr>
        <w:pStyle w:val="3"/>
        <w:spacing w:line="364" w:lineRule="auto"/>
        <w:ind w:right="1705" w:firstLine="480"/>
      </w:pPr>
      <w:r>
        <w:t>（五）</w:t>
      </w:r>
      <w:r>
        <w:rPr>
          <w:spacing w:val="-1"/>
        </w:rPr>
        <w:t xml:space="preserve">企业分立，被分立企业所有股东按原持股比例取得分立企业的股权， </w:t>
      </w:r>
      <w:r>
        <w:rPr>
          <w:spacing w:val="-4"/>
        </w:rPr>
        <w:t>分立企业和被分立企业均不改变原来的实质经营活动，且被分立企业股东在该企</w:t>
      </w:r>
      <w:r>
        <w:rPr>
          <w:spacing w:val="-7"/>
        </w:rPr>
        <w:t xml:space="preserve">业分立发生时取得的股权支付金额不低于其交易支付总额的 </w:t>
      </w:r>
      <w:r>
        <w:rPr>
          <w:rFonts w:ascii="Calibri" w:eastAsia="Calibri"/>
          <w:spacing w:val="-23"/>
        </w:rPr>
        <w:t>85%</w:t>
      </w:r>
      <w:r>
        <w:rPr>
          <w:spacing w:val="-5"/>
        </w:rPr>
        <w:t>，可以选择按以下规定处理：</w:t>
      </w:r>
    </w:p>
    <w:p>
      <w:pPr>
        <w:pStyle w:val="8"/>
        <w:numPr>
          <w:ilvl w:val="0"/>
          <w:numId w:val="82"/>
        </w:numPr>
        <w:tabs>
          <w:tab w:val="left" w:pos="2464"/>
        </w:tabs>
        <w:spacing w:before="2" w:after="0" w:line="364" w:lineRule="auto"/>
        <w:ind w:left="1800" w:right="1797" w:firstLine="480"/>
        <w:jc w:val="left"/>
        <w:rPr>
          <w:rFonts w:hint="eastAsia" w:ascii="宋体" w:eastAsia="宋体"/>
          <w:sz w:val="24"/>
        </w:rPr>
      </w:pPr>
      <w:r>
        <w:pict>
          <v:shape id="_x0000_s1097" o:spid="_x0000_s1097" o:spt="136" type="#_x0000_t136" style="position:absolute;left:0pt;margin-left:41.25pt;margin-top:16.3pt;height:132pt;width:528.05pt;mso-position-horizontal-relative:page;rotation:20643840f;z-index:-251583488;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宋体" w:eastAsia="宋体"/>
          <w:spacing w:val="-4"/>
          <w:sz w:val="24"/>
        </w:rPr>
        <w:t>分立企业接受被分立企业资产和负债的计税基础，以被分立企业的原有计</w:t>
      </w:r>
      <w:r>
        <w:rPr>
          <w:rFonts w:hint="eastAsia" w:ascii="宋体" w:eastAsia="宋体"/>
          <w:sz w:val="24"/>
        </w:rPr>
        <w:t>税基础确定。</w:t>
      </w:r>
    </w:p>
    <w:p>
      <w:pPr>
        <w:pStyle w:val="8"/>
        <w:numPr>
          <w:ilvl w:val="0"/>
          <w:numId w:val="82"/>
        </w:numPr>
        <w:tabs>
          <w:tab w:val="left" w:pos="2464"/>
        </w:tabs>
        <w:spacing w:before="1" w:after="0" w:line="240" w:lineRule="auto"/>
        <w:ind w:left="2463" w:right="0" w:hanging="184"/>
        <w:jc w:val="left"/>
        <w:rPr>
          <w:rFonts w:hint="eastAsia" w:ascii="宋体" w:eastAsia="宋体"/>
          <w:sz w:val="24"/>
        </w:rPr>
      </w:pPr>
      <w:r>
        <w:rPr>
          <w:rFonts w:hint="eastAsia" w:ascii="宋体" w:eastAsia="宋体"/>
          <w:sz w:val="24"/>
        </w:rPr>
        <w:t>被分立企业已分立出去资产相应的所得税事项由分立企业承继。</w:t>
      </w:r>
    </w:p>
    <w:p>
      <w:pPr>
        <w:pStyle w:val="8"/>
        <w:numPr>
          <w:ilvl w:val="0"/>
          <w:numId w:val="82"/>
        </w:numPr>
        <w:tabs>
          <w:tab w:val="left" w:pos="2468"/>
        </w:tabs>
        <w:spacing w:before="161" w:after="0" w:line="364" w:lineRule="auto"/>
        <w:ind w:left="1800" w:right="1797" w:firstLine="480"/>
        <w:jc w:val="left"/>
        <w:rPr>
          <w:rFonts w:hint="eastAsia" w:ascii="宋体" w:eastAsia="宋体"/>
          <w:sz w:val="24"/>
        </w:rPr>
      </w:pPr>
      <w:r>
        <w:rPr>
          <w:rFonts w:hint="eastAsia" w:ascii="宋体" w:eastAsia="宋体"/>
          <w:spacing w:val="3"/>
          <w:sz w:val="24"/>
        </w:rPr>
        <w:t>被分立企业未超过法定弥补期限的亏损额可按分立资产占全部资产的比例进行分配，由分立企业继续弥补。</w:t>
      </w:r>
    </w:p>
    <w:p>
      <w:pPr>
        <w:pStyle w:val="8"/>
        <w:numPr>
          <w:ilvl w:val="0"/>
          <w:numId w:val="82"/>
        </w:numPr>
        <w:tabs>
          <w:tab w:val="left" w:pos="2464"/>
        </w:tabs>
        <w:spacing w:before="1" w:after="0" w:line="364" w:lineRule="auto"/>
        <w:ind w:left="1800" w:right="1795" w:firstLine="480"/>
        <w:jc w:val="both"/>
        <w:rPr>
          <w:rFonts w:hint="eastAsia" w:ascii="宋体" w:hAnsi="宋体" w:eastAsia="宋体"/>
          <w:sz w:val="24"/>
        </w:rPr>
      </w:pPr>
      <w:r>
        <w:rPr>
          <w:rFonts w:hint="eastAsia" w:ascii="宋体" w:hAnsi="宋体" w:eastAsia="宋体"/>
          <w:sz w:val="24"/>
        </w:rPr>
        <w:t>被分立企业的股东取得分立企业的股权（以下简称</w:t>
      </w:r>
      <w:r>
        <w:rPr>
          <w:rFonts w:ascii="Calibri" w:hAnsi="Calibri" w:eastAsia="Calibri"/>
          <w:sz w:val="24"/>
        </w:rPr>
        <w:t>“</w:t>
      </w:r>
      <w:r>
        <w:rPr>
          <w:rFonts w:hint="eastAsia" w:ascii="宋体" w:hAnsi="宋体" w:eastAsia="宋体"/>
          <w:sz w:val="24"/>
        </w:rPr>
        <w:t>新股</w:t>
      </w:r>
      <w:r>
        <w:rPr>
          <w:rFonts w:ascii="Calibri" w:hAnsi="Calibri" w:eastAsia="Calibri"/>
          <w:sz w:val="24"/>
        </w:rPr>
        <w:t>”</w:t>
      </w:r>
      <w:r>
        <w:rPr>
          <w:rFonts w:hint="eastAsia" w:ascii="宋体" w:hAnsi="宋体" w:eastAsia="宋体"/>
          <w:sz w:val="24"/>
        </w:rPr>
        <w:t>），</w:t>
      </w:r>
      <w:r>
        <w:rPr>
          <w:rFonts w:hint="eastAsia" w:ascii="宋体" w:hAnsi="宋体" w:eastAsia="宋体"/>
          <w:spacing w:val="-3"/>
          <w:sz w:val="24"/>
        </w:rPr>
        <w:t>如需部分或</w:t>
      </w:r>
      <w:r>
        <w:rPr>
          <w:rFonts w:hint="eastAsia" w:ascii="宋体" w:hAnsi="宋体" w:eastAsia="宋体"/>
          <w:spacing w:val="-1"/>
          <w:sz w:val="24"/>
        </w:rPr>
        <w:t>全部放弃原持有的被分立企业的股权</w:t>
      </w:r>
      <w:r>
        <w:rPr>
          <w:rFonts w:hint="eastAsia" w:ascii="宋体" w:hAnsi="宋体" w:eastAsia="宋体"/>
          <w:sz w:val="24"/>
        </w:rPr>
        <w:t>（以下简称</w:t>
      </w:r>
      <w:r>
        <w:rPr>
          <w:rFonts w:ascii="Calibri" w:hAnsi="Calibri" w:eastAsia="Calibri"/>
          <w:spacing w:val="-3"/>
          <w:sz w:val="24"/>
        </w:rPr>
        <w:t>“</w:t>
      </w:r>
      <w:r>
        <w:rPr>
          <w:rFonts w:hint="eastAsia" w:ascii="宋体" w:hAnsi="宋体" w:eastAsia="宋体"/>
          <w:sz w:val="24"/>
        </w:rPr>
        <w:t>旧股</w:t>
      </w:r>
      <w:r>
        <w:rPr>
          <w:rFonts w:ascii="Calibri" w:hAnsi="Calibri" w:eastAsia="Calibri"/>
          <w:spacing w:val="-3"/>
          <w:sz w:val="24"/>
        </w:rPr>
        <w:t>”</w:t>
      </w:r>
      <w:r>
        <w:rPr>
          <w:rFonts w:hint="eastAsia" w:ascii="宋体" w:hAnsi="宋体" w:eastAsia="宋体"/>
          <w:spacing w:val="-3"/>
          <w:sz w:val="24"/>
        </w:rPr>
        <w:t>），</w:t>
      </w:r>
      <w:r>
        <w:rPr>
          <w:rFonts w:ascii="Calibri" w:hAnsi="Calibri" w:eastAsia="Calibri"/>
          <w:spacing w:val="-3"/>
          <w:sz w:val="24"/>
        </w:rPr>
        <w:t>“</w:t>
      </w:r>
      <w:r>
        <w:rPr>
          <w:rFonts w:hint="eastAsia" w:ascii="宋体" w:hAnsi="宋体" w:eastAsia="宋体"/>
          <w:sz w:val="24"/>
        </w:rPr>
        <w:t>新股</w:t>
      </w:r>
      <w:r>
        <w:rPr>
          <w:rFonts w:ascii="Calibri" w:hAnsi="Calibri" w:eastAsia="Calibri"/>
          <w:sz w:val="24"/>
        </w:rPr>
        <w:t>”</w:t>
      </w:r>
      <w:r>
        <w:rPr>
          <w:rFonts w:hint="eastAsia" w:ascii="宋体" w:hAnsi="宋体" w:eastAsia="宋体"/>
          <w:spacing w:val="-3"/>
          <w:sz w:val="24"/>
        </w:rPr>
        <w:t>的计税基础应</w:t>
      </w:r>
      <w:r>
        <w:rPr>
          <w:rFonts w:hint="eastAsia" w:ascii="宋体" w:hAnsi="宋体" w:eastAsia="宋体"/>
          <w:sz w:val="24"/>
        </w:rPr>
        <w:t>以放弃</w:t>
      </w:r>
      <w:r>
        <w:rPr>
          <w:rFonts w:ascii="Calibri" w:hAnsi="Calibri" w:eastAsia="Calibri"/>
          <w:sz w:val="24"/>
        </w:rPr>
        <w:t>“</w:t>
      </w:r>
      <w:r>
        <w:rPr>
          <w:rFonts w:hint="eastAsia" w:ascii="宋体" w:hAnsi="宋体" w:eastAsia="宋体"/>
          <w:sz w:val="24"/>
        </w:rPr>
        <w:t>旧股</w:t>
      </w:r>
      <w:r>
        <w:rPr>
          <w:rFonts w:ascii="Calibri" w:hAnsi="Calibri" w:eastAsia="Calibri"/>
          <w:sz w:val="24"/>
        </w:rPr>
        <w:t>”</w:t>
      </w:r>
      <w:r>
        <w:rPr>
          <w:rFonts w:hint="eastAsia" w:ascii="宋体" w:hAnsi="宋体" w:eastAsia="宋体"/>
          <w:sz w:val="24"/>
        </w:rPr>
        <w:t>的计税基础确定。如不需放弃</w:t>
      </w:r>
      <w:r>
        <w:rPr>
          <w:rFonts w:ascii="Calibri" w:hAnsi="Calibri" w:eastAsia="Calibri"/>
          <w:sz w:val="24"/>
        </w:rPr>
        <w:t>“</w:t>
      </w:r>
      <w:r>
        <w:rPr>
          <w:rFonts w:hint="eastAsia" w:ascii="宋体" w:hAnsi="宋体" w:eastAsia="宋体"/>
          <w:sz w:val="24"/>
        </w:rPr>
        <w:t>旧股</w:t>
      </w:r>
      <w:r>
        <w:rPr>
          <w:rFonts w:ascii="Calibri" w:hAnsi="Calibri" w:eastAsia="Calibri"/>
          <w:sz w:val="24"/>
        </w:rPr>
        <w:t>”</w:t>
      </w:r>
      <w:r>
        <w:rPr>
          <w:rFonts w:hint="eastAsia" w:ascii="宋体" w:hAnsi="宋体" w:eastAsia="宋体"/>
          <w:sz w:val="24"/>
        </w:rPr>
        <w:t>，则其取得</w:t>
      </w:r>
      <w:r>
        <w:rPr>
          <w:rFonts w:ascii="Calibri" w:hAnsi="Calibri" w:eastAsia="Calibri"/>
          <w:sz w:val="24"/>
        </w:rPr>
        <w:t>“</w:t>
      </w:r>
      <w:r>
        <w:rPr>
          <w:rFonts w:hint="eastAsia" w:ascii="宋体" w:hAnsi="宋体" w:eastAsia="宋体"/>
          <w:sz w:val="24"/>
        </w:rPr>
        <w:t>新股</w:t>
      </w:r>
      <w:r>
        <w:rPr>
          <w:rFonts w:ascii="Calibri" w:hAnsi="Calibri" w:eastAsia="Calibri"/>
          <w:sz w:val="24"/>
        </w:rPr>
        <w:t>”</w:t>
      </w:r>
      <w:r>
        <w:rPr>
          <w:rFonts w:hint="eastAsia" w:ascii="宋体" w:hAnsi="宋体" w:eastAsia="宋体"/>
          <w:sz w:val="24"/>
        </w:rPr>
        <w:t>的计税基础</w:t>
      </w:r>
      <w:r>
        <w:rPr>
          <w:rFonts w:hint="eastAsia" w:ascii="宋体" w:hAnsi="宋体" w:eastAsia="宋体"/>
          <w:spacing w:val="-2"/>
          <w:sz w:val="24"/>
        </w:rPr>
        <w:t>可从以下两种方法中选择确定：直接将</w:t>
      </w:r>
      <w:r>
        <w:rPr>
          <w:rFonts w:ascii="Calibri" w:hAnsi="Calibri" w:eastAsia="Calibri"/>
          <w:sz w:val="24"/>
        </w:rPr>
        <w:t>“</w:t>
      </w:r>
      <w:r>
        <w:rPr>
          <w:rFonts w:hint="eastAsia" w:ascii="宋体" w:hAnsi="宋体" w:eastAsia="宋体"/>
          <w:sz w:val="24"/>
        </w:rPr>
        <w:t>新股</w:t>
      </w:r>
      <w:r>
        <w:rPr>
          <w:rFonts w:ascii="Calibri" w:hAnsi="Calibri" w:eastAsia="Calibri"/>
          <w:spacing w:val="-3"/>
          <w:sz w:val="24"/>
        </w:rPr>
        <w:t>”</w:t>
      </w:r>
      <w:r>
        <w:rPr>
          <w:rFonts w:hint="eastAsia" w:ascii="宋体" w:hAnsi="宋体" w:eastAsia="宋体"/>
          <w:spacing w:val="-4"/>
          <w:sz w:val="24"/>
        </w:rPr>
        <w:t>的计税基础确定为零；或者以被分</w:t>
      </w:r>
      <w:r>
        <w:rPr>
          <w:rFonts w:hint="eastAsia" w:ascii="宋体" w:hAnsi="宋体" w:eastAsia="宋体"/>
          <w:spacing w:val="7"/>
          <w:sz w:val="24"/>
        </w:rPr>
        <w:t>立企业分立出去的净资产占被分立企业全部净资产的比例先调减原持有的</w:t>
      </w:r>
      <w:r>
        <w:rPr>
          <w:rFonts w:ascii="Calibri" w:hAnsi="Calibri" w:eastAsia="Calibri"/>
          <w:spacing w:val="9"/>
          <w:sz w:val="24"/>
        </w:rPr>
        <w:t>“</w:t>
      </w:r>
      <w:r>
        <w:rPr>
          <w:rFonts w:hint="eastAsia" w:ascii="宋体" w:hAnsi="宋体" w:eastAsia="宋体"/>
          <w:sz w:val="24"/>
        </w:rPr>
        <w:t>旧股</w:t>
      </w:r>
      <w:r>
        <w:rPr>
          <w:rFonts w:ascii="Calibri" w:hAnsi="Calibri" w:eastAsia="Calibri"/>
          <w:sz w:val="24"/>
        </w:rPr>
        <w:t>”</w:t>
      </w:r>
      <w:r>
        <w:rPr>
          <w:rFonts w:hint="eastAsia" w:ascii="宋体" w:hAnsi="宋体" w:eastAsia="宋体"/>
          <w:sz w:val="24"/>
        </w:rPr>
        <w:t>的计税基础，再将调减的计税基础平均分配到</w:t>
      </w:r>
      <w:r>
        <w:rPr>
          <w:rFonts w:ascii="Calibri" w:hAnsi="Calibri" w:eastAsia="Calibri"/>
          <w:spacing w:val="-3"/>
          <w:sz w:val="24"/>
        </w:rPr>
        <w:t>“</w:t>
      </w:r>
      <w:r>
        <w:rPr>
          <w:rFonts w:hint="eastAsia" w:ascii="宋体" w:hAnsi="宋体" w:eastAsia="宋体"/>
          <w:sz w:val="24"/>
        </w:rPr>
        <w:t>新股</w:t>
      </w:r>
      <w:r>
        <w:rPr>
          <w:rFonts w:ascii="Calibri" w:hAnsi="Calibri" w:eastAsia="Calibri"/>
          <w:sz w:val="24"/>
        </w:rPr>
        <w:t>”</w:t>
      </w:r>
      <w:r>
        <w:rPr>
          <w:rFonts w:hint="eastAsia" w:ascii="宋体" w:hAnsi="宋体" w:eastAsia="宋体"/>
          <w:sz w:val="24"/>
        </w:rPr>
        <w:t>上。</w:t>
      </w:r>
    </w:p>
    <w:p>
      <w:pPr>
        <w:pStyle w:val="3"/>
        <w:spacing w:before="4" w:line="364" w:lineRule="auto"/>
        <w:ind w:right="1797" w:firstLine="480"/>
        <w:jc w:val="both"/>
      </w:pPr>
      <w:r>
        <w:t>（六</w:t>
      </w:r>
      <w:r>
        <w:rPr>
          <w:spacing w:val="-20"/>
        </w:rPr>
        <w:t>）</w:t>
      </w:r>
      <w:r>
        <w:rPr>
          <w:spacing w:val="-2"/>
        </w:rPr>
        <w:t>重组交易各方按本条</w:t>
      </w:r>
      <w:r>
        <w:rPr>
          <w:spacing w:val="-3"/>
        </w:rPr>
        <w:t>（</w:t>
      </w:r>
      <w:r>
        <w:t>一</w:t>
      </w:r>
      <w:r>
        <w:rPr>
          <w:spacing w:val="-17"/>
        </w:rPr>
        <w:t>）</w:t>
      </w:r>
      <w:r>
        <w:rPr>
          <w:spacing w:val="-20"/>
        </w:rPr>
        <w:t>至</w:t>
      </w:r>
      <w:r>
        <w:t>（五</w:t>
      </w:r>
      <w:r>
        <w:rPr>
          <w:spacing w:val="-20"/>
        </w:rPr>
        <w:t>）</w:t>
      </w:r>
      <w:r>
        <w:rPr>
          <w:spacing w:val="-1"/>
        </w:rPr>
        <w:t>项规定对交易中股权支付暂不确</w:t>
      </w:r>
      <w:r>
        <w:rPr>
          <w:spacing w:val="-8"/>
        </w:rPr>
        <w:t>认有关资产的转让所得或损失的，其非股权支付仍应在交易当期确认相应的资产</w:t>
      </w:r>
      <w:r>
        <w:t>转让所得或损失，并调整相应资产的计税基础。</w:t>
      </w:r>
    </w:p>
    <w:p>
      <w:pPr>
        <w:pStyle w:val="3"/>
        <w:spacing w:line="364" w:lineRule="auto"/>
        <w:ind w:right="1797" w:firstLine="480"/>
      </w:pPr>
      <w:r>
        <w:t>非股权支付对应的资产转让所得或损失</w:t>
      </w:r>
      <w:r>
        <w:rPr>
          <w:rFonts w:ascii="Calibri" w:hAnsi="Calibri" w:eastAsia="Calibri"/>
        </w:rPr>
        <w:t>=</w:t>
      </w:r>
      <w:r>
        <w:t>（被转让资产的公允价值－被转让资产的计税基础）</w:t>
      </w:r>
      <w:r>
        <w:rPr>
          <w:rFonts w:ascii="Calibri" w:hAnsi="Calibri" w:eastAsia="Calibri"/>
        </w:rPr>
        <w:t>×</w:t>
      </w:r>
      <w:r>
        <w:t>（非股权支付金额</w:t>
      </w:r>
      <w:r>
        <w:rPr>
          <w:rFonts w:ascii="Calibri" w:hAnsi="Calibri" w:eastAsia="Calibri"/>
        </w:rPr>
        <w:t>÷</w:t>
      </w:r>
      <w:r>
        <w:t>被转让资产的公允价值）</w:t>
      </w:r>
    </w:p>
    <w:p>
      <w:pPr>
        <w:spacing w:after="0" w:line="364" w:lineRule="auto"/>
        <w:sectPr>
          <w:pgSz w:w="11910" w:h="16840"/>
          <w:pgMar w:top="1540" w:right="0" w:bottom="1380" w:left="0" w:header="965" w:footer="1182" w:gutter="0"/>
          <w:cols w:space="720" w:num="1"/>
        </w:sectPr>
      </w:pPr>
    </w:p>
    <w:p>
      <w:pPr>
        <w:pStyle w:val="3"/>
        <w:spacing w:before="2"/>
        <w:ind w:left="0"/>
        <w:rPr>
          <w:sz w:val="12"/>
        </w:rPr>
      </w:pPr>
    </w:p>
    <w:p>
      <w:pPr>
        <w:pStyle w:val="3"/>
        <w:spacing w:before="67" w:line="364" w:lineRule="auto"/>
        <w:ind w:right="1797" w:firstLine="480"/>
        <w:jc w:val="both"/>
      </w:pPr>
      <w:r>
        <w:rPr>
          <w:spacing w:val="-8"/>
        </w:rPr>
        <w:t>七、企业发生涉及中国境内与境外之间</w:t>
      </w:r>
      <w:r>
        <w:t>（包括港澳台地区</w:t>
      </w:r>
      <w:r>
        <w:rPr>
          <w:spacing w:val="-32"/>
        </w:rPr>
        <w:t>）</w:t>
      </w:r>
      <w:r>
        <w:rPr>
          <w:spacing w:val="-3"/>
        </w:rPr>
        <w:t>的股权和资产收</w:t>
      </w:r>
      <w:r>
        <w:rPr>
          <w:spacing w:val="-10"/>
        </w:rPr>
        <w:t>购交易，除应符合本通知第五条规定的条件外，还应同时符合下列条件，才可选</w:t>
      </w:r>
      <w:r>
        <w:t>择适用特殊性税务处理规定：</w:t>
      </w:r>
    </w:p>
    <w:p>
      <w:pPr>
        <w:pStyle w:val="3"/>
        <w:spacing w:before="2" w:line="364" w:lineRule="auto"/>
        <w:ind w:right="1797" w:firstLine="480"/>
        <w:jc w:val="both"/>
      </w:pPr>
      <w:r>
        <w:t>（一）</w:t>
      </w:r>
      <w:r>
        <w:rPr>
          <w:spacing w:val="-6"/>
        </w:rPr>
        <w:t xml:space="preserve">非居民企业向其 </w:t>
      </w:r>
      <w:r>
        <w:rPr>
          <w:rFonts w:ascii="Calibri" w:eastAsia="Calibri"/>
        </w:rPr>
        <w:t>100%</w:t>
      </w:r>
      <w:r>
        <w:t>直接控股的另一非居民企业转让其拥有的居民</w:t>
      </w:r>
      <w:r>
        <w:rPr>
          <w:spacing w:val="-10"/>
        </w:rPr>
        <w:t>企业股权，没有因此造成以后该项股权转让所得预提税负担变化，且转让方非居</w:t>
      </w:r>
      <w:r>
        <w:rPr>
          <w:spacing w:val="-4"/>
        </w:rPr>
        <w:t xml:space="preserve">民企业向主管税务机关书面承诺在 </w:t>
      </w:r>
      <w:r>
        <w:rPr>
          <w:rFonts w:ascii="Calibri" w:eastAsia="Calibri"/>
        </w:rPr>
        <w:t xml:space="preserve">3 </w:t>
      </w:r>
      <w:r>
        <w:rPr>
          <w:spacing w:val="-48"/>
        </w:rPr>
        <w:t>年</w:t>
      </w:r>
      <w:r>
        <w:t>（</w:t>
      </w:r>
      <w:r>
        <w:rPr>
          <w:spacing w:val="-30"/>
        </w:rPr>
        <w:t xml:space="preserve">含 </w:t>
      </w:r>
      <w:r>
        <w:rPr>
          <w:rFonts w:ascii="Calibri" w:eastAsia="Calibri"/>
        </w:rPr>
        <w:t xml:space="preserve">3 </w:t>
      </w:r>
      <w:r>
        <w:t>年</w:t>
      </w:r>
      <w:r>
        <w:rPr>
          <w:spacing w:val="-48"/>
        </w:rPr>
        <w:t>）</w:t>
      </w:r>
      <w:r>
        <w:rPr>
          <w:spacing w:val="-2"/>
        </w:rPr>
        <w:t>内不转让其拥有受让方非居民</w:t>
      </w:r>
      <w:r>
        <w:t>企业的股权；</w:t>
      </w:r>
    </w:p>
    <w:p>
      <w:pPr>
        <w:pStyle w:val="3"/>
        <w:spacing w:before="2" w:line="364" w:lineRule="auto"/>
        <w:ind w:right="1795" w:firstLine="480"/>
        <w:jc w:val="both"/>
      </w:pPr>
      <w:r>
        <w:t>（二）</w:t>
      </w:r>
      <w:r>
        <w:rPr>
          <w:spacing w:val="-4"/>
        </w:rPr>
        <w:t xml:space="preserve">非居民企业向与其具有 </w:t>
      </w:r>
      <w:r>
        <w:rPr>
          <w:rFonts w:ascii="Calibri" w:eastAsia="Calibri"/>
        </w:rPr>
        <w:t>100%</w:t>
      </w:r>
      <w:r>
        <w:rPr>
          <w:spacing w:val="-1"/>
        </w:rPr>
        <w:t>直接控股关系的居民企业转让其拥有的</w:t>
      </w:r>
      <w:r>
        <w:t>另一居民企业股权；</w:t>
      </w:r>
    </w:p>
    <w:p>
      <w:pPr>
        <w:pStyle w:val="3"/>
        <w:spacing w:line="364" w:lineRule="auto"/>
        <w:ind w:right="1797" w:firstLine="480"/>
        <w:jc w:val="both"/>
      </w:pPr>
      <w:r>
        <w:t>（三）</w:t>
      </w:r>
      <w:r>
        <w:rPr>
          <w:spacing w:val="-3"/>
        </w:rPr>
        <w:t xml:space="preserve">居民企业以其拥有的资产或股权向其 </w:t>
      </w:r>
      <w:r>
        <w:rPr>
          <w:rFonts w:ascii="Calibri" w:eastAsia="Calibri"/>
        </w:rPr>
        <w:t>100%</w:t>
      </w:r>
      <w:r>
        <w:t>直接控股的非居民企业进行投资；</w:t>
      </w:r>
    </w:p>
    <w:p>
      <w:pPr>
        <w:pStyle w:val="3"/>
        <w:ind w:left="2280"/>
      </w:pPr>
      <w:r>
        <w:pict>
          <v:shape id="_x0000_s1098" o:spid="_x0000_s1098" o:spt="136" type="#_x0000_t136" style="position:absolute;left:0pt;margin-left:41.25pt;margin-top:16.25pt;height:132pt;width:528.05pt;mso-position-horizontal-relative:page;rotation:20643840f;z-index:-251582464;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t>（四）财政部、国家税务总局核准的其他情形。</w:t>
      </w:r>
    </w:p>
    <w:p>
      <w:pPr>
        <w:pStyle w:val="3"/>
        <w:spacing w:before="161" w:line="364" w:lineRule="auto"/>
        <w:ind w:right="1795" w:firstLine="480"/>
        <w:jc w:val="both"/>
      </w:pPr>
      <w:r>
        <w:t>八、本通知第七条第（三）项所指的居民企业以其拥有的资产或股权向其</w:t>
      </w:r>
      <w:r>
        <w:rPr>
          <w:rFonts w:ascii="Calibri" w:eastAsia="Calibri"/>
        </w:rPr>
        <w:t>100%</w:t>
      </w:r>
      <w:r>
        <w:t xml:space="preserve">直接控股关系的非居民企业进行投资，其资产或股权转让收益如选择特殊性税务处理，可以在 </w:t>
      </w:r>
      <w:r>
        <w:rPr>
          <w:rFonts w:ascii="Calibri" w:eastAsia="Calibri"/>
        </w:rPr>
        <w:t xml:space="preserve">10 </w:t>
      </w:r>
      <w:r>
        <w:t>个纳税年度内均匀计入各年度应纳税所得额。</w:t>
      </w:r>
    </w:p>
    <w:p>
      <w:pPr>
        <w:pStyle w:val="3"/>
        <w:spacing w:before="2" w:line="364" w:lineRule="auto"/>
        <w:ind w:right="1797" w:firstLine="480"/>
        <w:jc w:val="both"/>
      </w:pPr>
      <w:r>
        <w:rPr>
          <w:spacing w:val="-12"/>
        </w:rPr>
        <w:t>九、在企业吸收合并中，合并后的存续企业性质及适用税收优惠的条件未发</w:t>
      </w:r>
      <w:r>
        <w:rPr>
          <w:spacing w:val="-10"/>
        </w:rPr>
        <w:t>生改变的，可以继续享受合并前该企业剩余期限的税收优惠，其优惠金额按存续</w:t>
      </w:r>
      <w:r>
        <w:t>企业合并前一年的应纳税所得额（亏损计为零）计算。</w:t>
      </w:r>
    </w:p>
    <w:p>
      <w:pPr>
        <w:pStyle w:val="3"/>
        <w:spacing w:before="2" w:line="364" w:lineRule="auto"/>
        <w:ind w:right="1797" w:firstLine="480"/>
        <w:jc w:val="both"/>
      </w:pPr>
      <w:r>
        <w:rPr>
          <w:spacing w:val="-11"/>
        </w:rPr>
        <w:t>在企业存续分立中，分立后的存续企业性质及适用税收优惠的条件未发生改</w:t>
      </w:r>
      <w:r>
        <w:rPr>
          <w:spacing w:val="-10"/>
        </w:rPr>
        <w:t>变的，可以继续享受分立前该企业剩余期限的税收优惠，其优惠金额按该企业分</w:t>
      </w:r>
      <w:r>
        <w:rPr>
          <w:spacing w:val="-5"/>
        </w:rPr>
        <w:t>立前一年的应纳税所得额</w:t>
      </w:r>
      <w:r>
        <w:t>（亏损计为零</w:t>
      </w:r>
      <w:r>
        <w:rPr>
          <w:spacing w:val="-46"/>
        </w:rPr>
        <w:t>）</w:t>
      </w:r>
      <w:r>
        <w:rPr>
          <w:spacing w:val="-1"/>
        </w:rPr>
        <w:t>乘以分立后存续企业资产占分立前该企</w:t>
      </w:r>
      <w:r>
        <w:t>业全部资产的比例计算。</w:t>
      </w:r>
    </w:p>
    <w:p>
      <w:pPr>
        <w:pStyle w:val="3"/>
        <w:spacing w:before="2" w:line="364" w:lineRule="auto"/>
        <w:ind w:right="1797" w:firstLine="480"/>
        <w:jc w:val="both"/>
      </w:pPr>
      <w:r>
        <w:rPr>
          <w:spacing w:val="-4"/>
        </w:rPr>
        <w:t xml:space="preserve">十、企业在重组发生前后连续 </w:t>
      </w:r>
      <w:r>
        <w:rPr>
          <w:rFonts w:ascii="Calibri" w:eastAsia="Calibri"/>
        </w:rPr>
        <w:t xml:space="preserve">12 </w:t>
      </w:r>
      <w:r>
        <w:rPr>
          <w:spacing w:val="-1"/>
        </w:rPr>
        <w:t>个月内分步对其资产、股权进行交易，应</w:t>
      </w:r>
      <w:r>
        <w:t>根据实质重于形式原则将上述交易作为一项企业重组交易进行处理。</w:t>
      </w:r>
    </w:p>
    <w:p>
      <w:pPr>
        <w:pStyle w:val="3"/>
        <w:spacing w:line="364" w:lineRule="auto"/>
        <w:ind w:right="1797" w:firstLine="480"/>
        <w:jc w:val="both"/>
      </w:pPr>
      <w:r>
        <w:rPr>
          <w:spacing w:val="2"/>
        </w:rPr>
        <w:t>十一、企业发生符合本通知规定的特殊性重组条件并选择特殊性税务处理</w:t>
      </w:r>
      <w:r>
        <w:rPr>
          <w:spacing w:val="-10"/>
        </w:rPr>
        <w:t>的，当事各方应在该重组业务完成当年企业所得税年度申报时，向主管税务机关</w:t>
      </w:r>
      <w:r>
        <w:rPr>
          <w:spacing w:val="-9"/>
        </w:rPr>
        <w:t>提交书面备案资料，证明其符合各类特殊性重组规定的条件。企业未按规定书面</w:t>
      </w:r>
      <w:r>
        <w:t>备案的，一律不得按特殊重组业务进行税务处理。</w:t>
      </w:r>
    </w:p>
    <w:p>
      <w:pPr>
        <w:spacing w:after="0" w:line="364" w:lineRule="auto"/>
        <w:jc w:val="both"/>
        <w:sectPr>
          <w:pgSz w:w="11910" w:h="16840"/>
          <w:pgMar w:top="1540" w:right="0" w:bottom="1380" w:left="0" w:header="965" w:footer="1182" w:gutter="0"/>
          <w:cols w:space="720" w:num="1"/>
        </w:sectPr>
      </w:pPr>
    </w:p>
    <w:p>
      <w:pPr>
        <w:pStyle w:val="3"/>
        <w:spacing w:before="2"/>
        <w:ind w:left="0"/>
        <w:rPr>
          <w:sz w:val="12"/>
        </w:rPr>
      </w:pPr>
    </w:p>
    <w:p>
      <w:pPr>
        <w:pStyle w:val="3"/>
        <w:spacing w:before="67" w:line="364" w:lineRule="auto"/>
        <w:ind w:right="1797" w:firstLine="480"/>
      </w:pPr>
      <w:r>
        <w:rPr>
          <w:spacing w:val="-10"/>
        </w:rPr>
        <w:t>十二、对企业在重组过程中涉及的需要特别处理的企业所得税事项，由国务</w:t>
      </w:r>
      <w:r>
        <w:t>院财政、税务主管部门另行规定。</w:t>
      </w:r>
    </w:p>
    <w:p>
      <w:pPr>
        <w:pStyle w:val="3"/>
        <w:spacing w:line="364" w:lineRule="auto"/>
        <w:ind w:left="2280" w:right="5174"/>
      </w:pPr>
      <w:r>
        <w:rPr>
          <w:spacing w:val="-8"/>
        </w:rPr>
        <w:t xml:space="preserve">十三、本通知自 </w:t>
      </w:r>
      <w:r>
        <w:rPr>
          <w:rFonts w:ascii="Calibri" w:eastAsia="Calibri"/>
        </w:rPr>
        <w:t xml:space="preserve">2008 </w:t>
      </w:r>
      <w:r>
        <w:rPr>
          <w:spacing w:val="-30"/>
        </w:rPr>
        <w:t xml:space="preserve">年 </w:t>
      </w:r>
      <w:r>
        <w:rPr>
          <w:rFonts w:ascii="Calibri" w:eastAsia="Calibri"/>
        </w:rPr>
        <w:t xml:space="preserve">1 </w:t>
      </w:r>
      <w:r>
        <w:rPr>
          <w:spacing w:val="-30"/>
        </w:rPr>
        <w:t xml:space="preserve">月 </w:t>
      </w:r>
      <w:r>
        <w:rPr>
          <w:rFonts w:ascii="Calibri" w:eastAsia="Calibri"/>
        </w:rPr>
        <w:t xml:space="preserve">1 </w:t>
      </w:r>
      <w:r>
        <w:rPr>
          <w:spacing w:val="-3"/>
        </w:rPr>
        <w:t>日起执行。</w:t>
      </w:r>
      <w:r>
        <w:t>财政部 国家税务总局</w:t>
      </w:r>
    </w:p>
    <w:p>
      <w:pPr>
        <w:pStyle w:val="3"/>
        <w:spacing w:before="0"/>
        <w:ind w:left="0"/>
      </w:pPr>
    </w:p>
    <w:p>
      <w:pPr>
        <w:pStyle w:val="3"/>
        <w:spacing w:before="7"/>
        <w:ind w:left="0"/>
        <w:rPr>
          <w:sz w:val="25"/>
        </w:rPr>
      </w:pPr>
    </w:p>
    <w:p>
      <w:pPr>
        <w:pStyle w:val="3"/>
        <w:spacing w:before="0"/>
        <w:ind w:left="2280"/>
        <w:outlineLvl w:val="2"/>
        <w:rPr>
          <w:rFonts w:hint="eastAsia" w:ascii="微软雅黑" w:eastAsia="微软雅黑"/>
        </w:rPr>
      </w:pPr>
      <w:bookmarkStart w:id="35" w:name="_bookmark19"/>
      <w:bookmarkEnd w:id="35"/>
      <w:r>
        <w:rPr>
          <w:rFonts w:hint="eastAsia" w:ascii="微软雅黑" w:eastAsia="微软雅黑"/>
        </w:rPr>
        <w:t>4.《国家税务总局关于发布&lt;企业重组业务企业所得税管理办法&gt;的公告》</w:t>
      </w:r>
    </w:p>
    <w:p>
      <w:pPr>
        <w:pStyle w:val="3"/>
        <w:spacing w:before="182"/>
        <w:ind w:left="0" w:right="4240"/>
        <w:jc w:val="center"/>
        <w:rPr>
          <w:rFonts w:hint="eastAsia" w:ascii="微软雅黑" w:eastAsia="微软雅黑"/>
        </w:rPr>
      </w:pPr>
      <w:r>
        <w:rPr>
          <w:rFonts w:hint="eastAsia" w:ascii="微软雅黑" w:eastAsia="微软雅黑"/>
        </w:rPr>
        <w:t>（国家税务总局公告 2010 年第 4 号）</w:t>
      </w:r>
    </w:p>
    <w:p>
      <w:pPr>
        <w:pStyle w:val="3"/>
        <w:spacing w:before="172" w:line="364" w:lineRule="auto"/>
        <w:ind w:right="1795" w:firstLine="480"/>
        <w:jc w:val="both"/>
      </w:pPr>
      <w:r>
        <w:rPr>
          <w:spacing w:val="-3"/>
        </w:rPr>
        <w:t xml:space="preserve">现将《企业重组业务企业所得税管理办法》予以发布，自 </w:t>
      </w:r>
      <w:r>
        <w:rPr>
          <w:rFonts w:ascii="Calibri" w:eastAsia="Calibri"/>
        </w:rPr>
        <w:t xml:space="preserve">2010 </w:t>
      </w:r>
      <w:r>
        <w:rPr>
          <w:spacing w:val="-29"/>
        </w:rPr>
        <w:t xml:space="preserve">年 </w:t>
      </w:r>
      <w:r>
        <w:rPr>
          <w:rFonts w:ascii="Calibri" w:eastAsia="Calibri"/>
        </w:rPr>
        <w:t xml:space="preserve">1 </w:t>
      </w:r>
      <w:r>
        <w:rPr>
          <w:spacing w:val="-29"/>
        </w:rPr>
        <w:t xml:space="preserve">月 </w:t>
      </w:r>
      <w:r>
        <w:rPr>
          <w:rFonts w:ascii="Calibri" w:eastAsia="Calibri"/>
        </w:rPr>
        <w:t xml:space="preserve">1 </w:t>
      </w:r>
      <w:r>
        <w:rPr>
          <w:spacing w:val="-12"/>
        </w:rPr>
        <w:t>日</w:t>
      </w:r>
      <w:r>
        <w:t>起施行</w:t>
      </w:r>
    </w:p>
    <w:p>
      <w:pPr>
        <w:pStyle w:val="3"/>
        <w:spacing w:line="364" w:lineRule="auto"/>
        <w:ind w:right="1792" w:firstLine="480"/>
        <w:jc w:val="both"/>
      </w:pPr>
      <w:r>
        <w:pict>
          <v:shape id="_x0000_s1099" o:spid="_x0000_s1099" o:spt="136" type="#_x0000_t136" style="position:absolute;left:0pt;margin-left:41.25pt;margin-top:39.65pt;height:132pt;width:528.05pt;mso-position-horizontal-relative:page;rotation:20643840f;z-index:-251581440;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spacing w:val="-6"/>
        </w:rPr>
        <w:t>本办法发布时企业已经完成重组业务的，如适用</w:t>
      </w:r>
      <w:r>
        <w:fldChar w:fldCharType="begin"/>
      </w:r>
      <w:r>
        <w:instrText xml:space="preserve"> HYPERLINK "http://www.shui5.cn/article/14/23839.html" \h </w:instrText>
      </w:r>
      <w:r>
        <w:fldChar w:fldCharType="separate"/>
      </w:r>
      <w:r>
        <w:rPr>
          <w:spacing w:val="-1"/>
        </w:rPr>
        <w:t>《财政部国家税务总局关于</w:t>
      </w:r>
      <w:r>
        <w:rPr>
          <w:spacing w:val="-1"/>
        </w:rPr>
        <w:fldChar w:fldCharType="end"/>
      </w:r>
      <w:r>
        <w:rPr>
          <w:spacing w:val="-4"/>
        </w:rPr>
        <w:t>企业重组业务企业所得税处理若干问题的通知》</w:t>
      </w:r>
      <w:r>
        <w:t>（财税</w:t>
      </w:r>
      <w:r>
        <w:fldChar w:fldCharType="begin"/>
      </w:r>
      <w:r>
        <w:instrText xml:space="preserve"> HYPERLINK "http://www.shui5.cn/article/14/23839.html" \h </w:instrText>
      </w:r>
      <w:r>
        <w:fldChar w:fldCharType="separate"/>
      </w:r>
      <w:r>
        <w:rPr>
          <w:rFonts w:ascii="Calibri" w:eastAsia="Calibri"/>
        </w:rPr>
        <w:t xml:space="preserve">[2009]59 </w:t>
      </w:r>
      <w:r>
        <w:t>号</w:t>
      </w:r>
      <w:r>
        <w:fldChar w:fldCharType="end"/>
      </w:r>
      <w:r>
        <w:rPr>
          <w:spacing w:val="-22"/>
        </w:rPr>
        <w:t>）</w:t>
      </w:r>
      <w:r>
        <w:rPr>
          <w:spacing w:val="-3"/>
        </w:rPr>
        <w:t>特殊税务处</w:t>
      </w:r>
      <w:r>
        <w:rPr>
          <w:spacing w:val="-10"/>
        </w:rPr>
        <w:t>理，企业没有按照本办法要求准备相关资料的，应补备相关资料；需要税务机关</w:t>
      </w:r>
      <w:r>
        <w:t>确认的，按照本办法要求补充确认。</w:t>
      </w:r>
      <w:r>
        <w:rPr>
          <w:rFonts w:ascii="Calibri" w:eastAsia="Calibri"/>
        </w:rPr>
        <w:t>2008</w:t>
      </w:r>
      <w:r>
        <w:t>、</w:t>
      </w:r>
      <w:r>
        <w:rPr>
          <w:rFonts w:ascii="Calibri" w:eastAsia="Calibri"/>
        </w:rPr>
        <w:t xml:space="preserve">2009 </w:t>
      </w:r>
      <w:r>
        <w:t>年度企业重组业务尚未进行税务处理的，可按本办法处理。</w:t>
      </w:r>
    </w:p>
    <w:p>
      <w:pPr>
        <w:pStyle w:val="3"/>
        <w:spacing w:before="3"/>
        <w:ind w:left="2812"/>
      </w:pPr>
      <w:r>
        <w:t>特此公告。</w:t>
      </w:r>
    </w:p>
    <w:p>
      <w:pPr>
        <w:pStyle w:val="3"/>
        <w:spacing w:before="160" w:line="364" w:lineRule="auto"/>
        <w:ind w:left="2280" w:right="3913" w:firstLine="2112"/>
        <w:jc w:val="both"/>
      </w:pPr>
      <w:r>
        <w:t>企业重组业务企业所得税管理办法第一章 总则及定义</w:t>
      </w:r>
    </w:p>
    <w:p>
      <w:pPr>
        <w:pStyle w:val="3"/>
        <w:spacing w:before="2" w:line="364" w:lineRule="auto"/>
        <w:ind w:right="1677" w:firstLine="480"/>
        <w:jc w:val="both"/>
      </w:pPr>
      <w:r>
        <w:rPr>
          <w:spacing w:val="-4"/>
        </w:rPr>
        <w:t>第一条  为规范和加强对企业重组业务的企业所得税管理，根据《中华人民</w:t>
      </w:r>
      <w:r>
        <w:rPr>
          <w:spacing w:val="-7"/>
        </w:rPr>
        <w:t>共和国企业所得税法》</w:t>
      </w:r>
      <w:r>
        <w:t>（</w:t>
      </w:r>
      <w:r>
        <w:rPr>
          <w:spacing w:val="-5"/>
        </w:rPr>
        <w:t>以下简称《税法》</w:t>
      </w:r>
      <w:r>
        <w:rPr>
          <w:spacing w:val="-12"/>
        </w:rPr>
        <w:t>）</w:t>
      </w:r>
      <w:r>
        <w:rPr>
          <w:spacing w:val="-3"/>
        </w:rPr>
        <w:t>及其实施条例</w:t>
      </w:r>
      <w:r>
        <w:t>（</w:t>
      </w:r>
      <w:r>
        <w:rPr>
          <w:spacing w:val="-3"/>
        </w:rPr>
        <w:t>以下简称《实施条</w:t>
      </w:r>
      <w:r>
        <w:rPr>
          <w:spacing w:val="-34"/>
        </w:rPr>
        <w:t>例》</w:t>
      </w:r>
      <w:r>
        <w:rPr>
          <w:spacing w:val="-65"/>
        </w:rPr>
        <w:t>）</w:t>
      </w:r>
      <w:r>
        <w:rPr>
          <w:spacing w:val="-19"/>
        </w:rPr>
        <w:t>、《中华人民共和国税收征收管理法》及其实施细则</w:t>
      </w:r>
      <w:r>
        <w:t>（</w:t>
      </w:r>
      <w:r>
        <w:rPr>
          <w:spacing w:val="-23"/>
        </w:rPr>
        <w:t>以下简称《征管法》</w:t>
      </w:r>
      <w:r>
        <w:rPr>
          <w:spacing w:val="-120"/>
        </w:rPr>
        <w:t>）</w:t>
      </w:r>
      <w:r>
        <w:rPr>
          <w:spacing w:val="-15"/>
        </w:rPr>
        <w:t>、</w:t>
      </w:r>
    </w:p>
    <w:p>
      <w:pPr>
        <w:pStyle w:val="3"/>
        <w:spacing w:line="364" w:lineRule="auto"/>
        <w:ind w:right="1797"/>
        <w:jc w:val="both"/>
      </w:pPr>
      <w:r>
        <w:fldChar w:fldCharType="begin"/>
      </w:r>
      <w:r>
        <w:instrText xml:space="preserve"> HYPERLINK "http://www.shui5.cn/article/14/23839.html" \h </w:instrText>
      </w:r>
      <w:r>
        <w:fldChar w:fldCharType="separate"/>
      </w:r>
      <w:r>
        <w:t>《财政部国家税务总局关于企业重组业务企业所得税处理若干问题的通知</w:t>
      </w:r>
      <w:r>
        <w:fldChar w:fldCharType="end"/>
      </w:r>
      <w:r>
        <w:rPr>
          <w:spacing w:val="-94"/>
        </w:rPr>
        <w:t>》</w:t>
      </w:r>
      <w:r>
        <w:fldChar w:fldCharType="begin"/>
      </w:r>
      <w:r>
        <w:instrText xml:space="preserve"> HYPERLINK "http://www.shui5.cn/article/14/23839.html" \h </w:instrText>
      </w:r>
      <w:r>
        <w:fldChar w:fldCharType="separate"/>
      </w:r>
      <w:r>
        <w:t>（</w:t>
      </w:r>
      <w:r>
        <w:rPr>
          <w:spacing w:val="-17"/>
        </w:rPr>
        <w:t>财</w:t>
      </w:r>
      <w:r>
        <w:rPr>
          <w:spacing w:val="-17"/>
        </w:rPr>
        <w:fldChar w:fldCharType="end"/>
      </w:r>
      <w:r>
        <w:t>税</w:t>
      </w:r>
      <w:r>
        <w:rPr>
          <w:rFonts w:ascii="Calibri" w:eastAsia="Calibri"/>
        </w:rPr>
        <w:t xml:space="preserve">[2009]59 </w:t>
      </w:r>
      <w:r>
        <w:t>号）（以下简称《通知》）等有关规定，制定本办法。</w:t>
      </w:r>
    </w:p>
    <w:p>
      <w:pPr>
        <w:pStyle w:val="3"/>
        <w:tabs>
          <w:tab w:val="left" w:pos="3239"/>
        </w:tabs>
        <w:spacing w:before="2" w:line="364" w:lineRule="auto"/>
        <w:ind w:right="1797" w:firstLine="480"/>
      </w:pPr>
      <w:r>
        <w:t>第二条</w:t>
      </w:r>
      <w:r>
        <w:tab/>
      </w:r>
      <w:r>
        <w:t>本办法所称企业重组业务</w:t>
      </w:r>
      <w:r>
        <w:rPr>
          <w:spacing w:val="-32"/>
        </w:rPr>
        <w:t>，</w:t>
      </w:r>
      <w:r>
        <w:t>是</w:t>
      </w:r>
      <w:r>
        <w:rPr>
          <w:spacing w:val="-32"/>
        </w:rPr>
        <w:t>指</w:t>
      </w:r>
      <w:r>
        <w:t>《通知</w:t>
      </w:r>
      <w:r>
        <w:rPr>
          <w:spacing w:val="-32"/>
        </w:rPr>
        <w:t>》</w:t>
      </w:r>
      <w:r>
        <w:t>第一条所规定的企业法</w:t>
      </w:r>
      <w:r>
        <w:rPr>
          <w:spacing w:val="-14"/>
        </w:rPr>
        <w:t>律</w:t>
      </w:r>
      <w:r>
        <w:t>形式改变、债务重组、股权收购、资产收购、合并、分立等各类重组。</w:t>
      </w:r>
    </w:p>
    <w:p>
      <w:pPr>
        <w:pStyle w:val="3"/>
        <w:tabs>
          <w:tab w:val="left" w:pos="2999"/>
          <w:tab w:val="left" w:pos="3959"/>
        </w:tabs>
        <w:spacing w:line="364" w:lineRule="auto"/>
        <w:ind w:right="1797" w:firstLine="480"/>
      </w:pPr>
      <w:r>
        <w:rPr>
          <w:shd w:val="clear" w:color="auto" w:fill="FFFF00"/>
        </w:rPr>
        <w:t>废止</w:t>
      </w:r>
      <w:r>
        <w:rPr>
          <w:shd w:val="clear" w:color="auto" w:fill="FFFF00"/>
        </w:rPr>
        <w:tab/>
      </w:r>
      <w:r>
        <w:rPr>
          <w:shd w:val="clear" w:color="auto" w:fill="FFFF00"/>
        </w:rPr>
        <w:t>第三条</w:t>
      </w:r>
      <w:r>
        <w:tab/>
      </w:r>
      <w:r>
        <w:t>企业发生各类重组业务</w:t>
      </w:r>
      <w:r>
        <w:rPr>
          <w:spacing w:val="-32"/>
        </w:rPr>
        <w:t>，</w:t>
      </w:r>
      <w:r>
        <w:t>其当事各方</w:t>
      </w:r>
      <w:r>
        <w:rPr>
          <w:spacing w:val="-32"/>
        </w:rPr>
        <w:t>，</w:t>
      </w:r>
      <w:r>
        <w:t>按重组类型</w:t>
      </w:r>
      <w:r>
        <w:rPr>
          <w:spacing w:val="-34"/>
        </w:rPr>
        <w:t>，</w:t>
      </w:r>
      <w:r>
        <w:t>分别</w:t>
      </w:r>
      <w:r>
        <w:rPr>
          <w:spacing w:val="-14"/>
        </w:rPr>
        <w:t>指</w:t>
      </w:r>
      <w:r>
        <w:t>以下企业：</w:t>
      </w:r>
    </w:p>
    <w:p>
      <w:pPr>
        <w:pStyle w:val="3"/>
        <w:ind w:left="2248"/>
      </w:pPr>
      <w:r>
        <w:t>（一）债务重组中当事各方，指债务人及债权人。</w:t>
      </w:r>
    </w:p>
    <w:p>
      <w:pPr>
        <w:pStyle w:val="3"/>
        <w:spacing w:before="160"/>
        <w:ind w:left="2280"/>
      </w:pPr>
      <w:r>
        <w:t>（二）股权收购中当事各方，指收购方、转让方及被收购企业。</w:t>
      </w:r>
    </w:p>
    <w:p>
      <w:pPr>
        <w:spacing w:after="0"/>
        <w:sectPr>
          <w:pgSz w:w="11910" w:h="16840"/>
          <w:pgMar w:top="1540" w:right="0" w:bottom="1380" w:left="0" w:header="965" w:footer="1182" w:gutter="0"/>
          <w:cols w:space="720" w:num="1"/>
        </w:sectPr>
      </w:pPr>
    </w:p>
    <w:p>
      <w:pPr>
        <w:pStyle w:val="3"/>
        <w:spacing w:before="2"/>
        <w:ind w:left="0"/>
        <w:rPr>
          <w:sz w:val="12"/>
        </w:rPr>
      </w:pPr>
    </w:p>
    <w:p>
      <w:pPr>
        <w:pStyle w:val="3"/>
        <w:spacing w:before="67"/>
        <w:ind w:left="2280"/>
      </w:pPr>
      <w:r>
        <w:t>（三）资产收购中当事各方，指转让方、受让方。</w:t>
      </w:r>
    </w:p>
    <w:p>
      <w:pPr>
        <w:pStyle w:val="3"/>
        <w:spacing w:before="160"/>
        <w:ind w:left="2280"/>
      </w:pPr>
      <w:r>
        <w:t>（四）合并中当事各方，指合并企业、被合并企业及各方股东。</w:t>
      </w:r>
    </w:p>
    <w:p>
      <w:pPr>
        <w:pStyle w:val="3"/>
        <w:spacing w:before="161"/>
        <w:ind w:left="2280"/>
      </w:pPr>
      <w:r>
        <w:t>（五）分立中当事各方，指分立企业、被分立企业及各方股东。</w:t>
      </w:r>
    </w:p>
    <w:p>
      <w:pPr>
        <w:pStyle w:val="3"/>
        <w:tabs>
          <w:tab w:val="left" w:pos="840"/>
        </w:tabs>
        <w:spacing w:before="160"/>
        <w:ind w:left="120"/>
        <w:jc w:val="center"/>
      </w:pPr>
      <w:r>
        <w:rPr>
          <w:shd w:val="clear" w:color="auto" w:fill="FFFF00"/>
        </w:rPr>
        <w:t>废止</w:t>
      </w:r>
      <w:r>
        <w:rPr>
          <w:shd w:val="clear" w:color="auto" w:fill="FFFF00"/>
        </w:rPr>
        <w:tab/>
      </w:r>
      <w:r>
        <w:rPr>
          <w:shd w:val="clear" w:color="auto" w:fill="FFFF00"/>
        </w:rPr>
        <w:t>第七条</w:t>
      </w:r>
      <w:r>
        <w:rPr>
          <w:spacing w:val="67"/>
        </w:rPr>
        <w:t xml:space="preserve"> </w:t>
      </w:r>
      <w:r>
        <w:rPr>
          <w:spacing w:val="-3"/>
        </w:rPr>
        <w:t>《</w:t>
      </w:r>
      <w:r>
        <w:t>通知</w:t>
      </w:r>
      <w:r>
        <w:rPr>
          <w:spacing w:val="-53"/>
        </w:rPr>
        <w:t>》</w:t>
      </w:r>
      <w:r>
        <w:t>中规定的企业重组</w:t>
      </w:r>
      <w:r>
        <w:rPr>
          <w:spacing w:val="-53"/>
        </w:rPr>
        <w:t>，</w:t>
      </w:r>
      <w:r>
        <w:t>其重组日的确定</w:t>
      </w:r>
      <w:r>
        <w:rPr>
          <w:spacing w:val="-53"/>
        </w:rPr>
        <w:t>，</w:t>
      </w:r>
      <w:r>
        <w:t>按以下规定处理：</w:t>
      </w:r>
    </w:p>
    <w:p>
      <w:pPr>
        <w:pStyle w:val="3"/>
        <w:spacing w:before="161"/>
        <w:ind w:left="2280"/>
      </w:pPr>
      <w:r>
        <w:t>（一）债务重组，以债务重组合同或协议生效日为重组日。</w:t>
      </w:r>
    </w:p>
    <w:p>
      <w:pPr>
        <w:pStyle w:val="3"/>
        <w:spacing w:before="160"/>
        <w:ind w:left="2280"/>
      </w:pPr>
      <w:r>
        <w:t>（二）股权收购，以转让协议生效且完成股权变更手续日为重组日。</w:t>
      </w:r>
    </w:p>
    <w:p>
      <w:pPr>
        <w:pStyle w:val="3"/>
        <w:spacing w:before="161"/>
        <w:ind w:left="2280"/>
      </w:pPr>
      <w:r>
        <w:t>（三）资产收购，以转让协议生效且完成资产实际交割日为重组日。</w:t>
      </w:r>
    </w:p>
    <w:p>
      <w:pPr>
        <w:pStyle w:val="3"/>
        <w:spacing w:before="160" w:line="364" w:lineRule="auto"/>
        <w:ind w:right="1797" w:firstLine="448"/>
      </w:pPr>
      <w:r>
        <w:t>（四</w:t>
      </w:r>
      <w:r>
        <w:rPr>
          <w:spacing w:val="-32"/>
        </w:rPr>
        <w:t>）</w:t>
      </w:r>
      <w:r>
        <w:rPr>
          <w:spacing w:val="-7"/>
        </w:rPr>
        <w:t>企业合并，以合并企业取得被合并企业资产所有权并完成工商登记变</w:t>
      </w:r>
      <w:r>
        <w:t>更日期为重组日。</w:t>
      </w:r>
    </w:p>
    <w:p>
      <w:pPr>
        <w:pStyle w:val="3"/>
        <w:spacing w:before="2" w:line="364" w:lineRule="auto"/>
        <w:ind w:right="1797" w:firstLine="448"/>
      </w:pPr>
      <w:r>
        <w:t>（五</w:t>
      </w:r>
      <w:r>
        <w:rPr>
          <w:spacing w:val="-32"/>
        </w:rPr>
        <w:t>）</w:t>
      </w:r>
      <w:r>
        <w:rPr>
          <w:spacing w:val="-7"/>
        </w:rPr>
        <w:t>企业分立，以分立企业取得被分立企业资产所有权并完成工商登记变</w:t>
      </w:r>
      <w:r>
        <w:t>更日期为重组日。</w:t>
      </w:r>
    </w:p>
    <w:p>
      <w:pPr>
        <w:pStyle w:val="3"/>
        <w:spacing w:line="364" w:lineRule="auto"/>
        <w:ind w:right="1797" w:firstLine="480"/>
        <w:jc w:val="both"/>
      </w:pPr>
      <w:r>
        <w:pict>
          <v:shape id="_x0000_s1100" o:spid="_x0000_s1100" o:spt="136" type="#_x0000_t136" style="position:absolute;left:0pt;margin-left:41.25pt;margin-top:16.25pt;height:132pt;width:528.05pt;mso-position-horizontal-relative:page;rotation:20643840f;z-index:-251580416;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shd w:val="clear" w:color="auto" w:fill="FFFF00"/>
        </w:rPr>
        <w:t>废止 第八条</w:t>
      </w:r>
      <w:r>
        <w:rPr>
          <w:spacing w:val="-8"/>
        </w:rPr>
        <w:t xml:space="preserve">  重组业务完成年度的确定，可以按各当事方适用的会计准则</w:t>
      </w:r>
      <w:r>
        <w:rPr>
          <w:spacing w:val="-10"/>
        </w:rPr>
        <w:t>确定，具体参照各当事方经审计的年度财务报告。由于当事方适用的会计准则不</w:t>
      </w:r>
      <w:r>
        <w:rPr>
          <w:spacing w:val="-6"/>
        </w:rPr>
        <w:t>同导致重组业务完成年度的判定有差异时，各当事方应协商一致，确定同一个纳</w:t>
      </w:r>
      <w:r>
        <w:t>税年度作为重组业务完成年度。</w:t>
      </w:r>
    </w:p>
    <w:p>
      <w:pPr>
        <w:pStyle w:val="3"/>
        <w:spacing w:before="2" w:line="364" w:lineRule="auto"/>
        <w:ind w:right="1945" w:firstLine="480"/>
        <w:jc w:val="both"/>
        <w:rPr>
          <w:rFonts w:ascii="Calibri" w:eastAsia="Calibri"/>
        </w:rPr>
      </w:pPr>
      <w:r>
        <w:t>第九条 本办法所称评估机构，是指具有合法资质的中国资产评估机构。第二章 企业重组一般性税务处理管理</w:t>
      </w:r>
      <w:r>
        <w:rPr>
          <w:rFonts w:ascii="Calibri" w:eastAsia="Calibri"/>
        </w:rPr>
        <w:t>?</w:t>
      </w:r>
    </w:p>
    <w:p>
      <w:pPr>
        <w:pStyle w:val="3"/>
        <w:spacing w:line="364" w:lineRule="auto"/>
        <w:ind w:right="1797" w:firstLine="480"/>
        <w:jc w:val="both"/>
      </w:pPr>
      <w:r>
        <w:rPr>
          <w:spacing w:val="-7"/>
        </w:rPr>
        <w:t>第十条 企业发生《通知》第四条第</w:t>
      </w:r>
      <w:r>
        <w:rPr>
          <w:spacing w:val="-3"/>
        </w:rPr>
        <w:t>（</w:t>
      </w:r>
      <w:r>
        <w:t>一</w:t>
      </w:r>
      <w:r>
        <w:rPr>
          <w:spacing w:val="-22"/>
        </w:rPr>
        <w:t>）</w:t>
      </w:r>
      <w:r>
        <w:rPr>
          <w:spacing w:val="-2"/>
        </w:rPr>
        <w:t>项规定的由法人转变为个人独资</w:t>
      </w:r>
      <w:r>
        <w:rPr>
          <w:spacing w:val="-9"/>
        </w:rPr>
        <w:t>企业、合伙企业等非法人组织，或将登记注册地转移至中华人民共和国境外</w:t>
      </w:r>
      <w:r>
        <w:t>（</w:t>
      </w:r>
      <w:r>
        <w:rPr>
          <w:spacing w:val="-15"/>
        </w:rPr>
        <w:t>包</w:t>
      </w:r>
      <w:r>
        <w:t>括港澳台地区</w:t>
      </w:r>
      <w:r>
        <w:rPr>
          <w:spacing w:val="-32"/>
        </w:rPr>
        <w:t>），</w:t>
      </w:r>
      <w:r>
        <w:rPr>
          <w:spacing w:val="-11"/>
        </w:rPr>
        <w:t>应按照</w:t>
      </w:r>
      <w:r>
        <w:fldChar w:fldCharType="begin"/>
      </w:r>
      <w:r>
        <w:instrText xml:space="preserve"> HYPERLINK "http://www.shui5.cn/article/f7/23841.html" \h </w:instrText>
      </w:r>
      <w:r>
        <w:fldChar w:fldCharType="separate"/>
      </w:r>
      <w:r>
        <w:rPr>
          <w:spacing w:val="-1"/>
        </w:rPr>
        <w:t>《财政部国家税务总局关于企业清算业务企业所得税处</w:t>
      </w:r>
      <w:r>
        <w:rPr>
          <w:spacing w:val="-1"/>
        </w:rPr>
        <w:fldChar w:fldCharType="end"/>
      </w:r>
      <w:r>
        <w:t>理若干问题的通知》（财税</w:t>
      </w:r>
      <w:r>
        <w:fldChar w:fldCharType="begin"/>
      </w:r>
      <w:r>
        <w:instrText xml:space="preserve"> HYPERLINK "http://www.shui5.cn/article/f7/23841.html" \h </w:instrText>
      </w:r>
      <w:r>
        <w:fldChar w:fldCharType="separate"/>
      </w:r>
      <w:r>
        <w:rPr>
          <w:rFonts w:ascii="Calibri" w:eastAsia="Calibri"/>
        </w:rPr>
        <w:t xml:space="preserve">[2009]60 </w:t>
      </w:r>
      <w:r>
        <w:rPr>
          <w:rFonts w:ascii="Calibri" w:eastAsia="Calibri"/>
        </w:rPr>
        <w:fldChar w:fldCharType="end"/>
      </w:r>
      <w:r>
        <w:t>号）规定进行清算。</w:t>
      </w:r>
    </w:p>
    <w:p>
      <w:pPr>
        <w:pStyle w:val="3"/>
        <w:spacing w:before="3"/>
        <w:ind w:left="2280"/>
      </w:pPr>
      <w:r>
        <w:t>企业在报送《企业清算所得纳税申报表》时，应附送以下资料：</w:t>
      </w:r>
    </w:p>
    <w:p>
      <w:pPr>
        <w:pStyle w:val="3"/>
        <w:spacing w:before="160"/>
        <w:ind w:left="2280"/>
      </w:pPr>
      <w:r>
        <w:t>（一）企业改变法律形式的工商部门或其他政府部门的批准文件；</w:t>
      </w:r>
    </w:p>
    <w:p>
      <w:pPr>
        <w:pStyle w:val="3"/>
        <w:spacing w:before="161"/>
        <w:ind w:left="2280"/>
      </w:pPr>
      <w:r>
        <w:t>（二）企业全部资产的计税基础以及评估机构出具的资产评估报告；</w:t>
      </w:r>
    </w:p>
    <w:p>
      <w:pPr>
        <w:pStyle w:val="3"/>
        <w:spacing w:before="160"/>
        <w:ind w:left="2280"/>
      </w:pPr>
      <w:r>
        <w:t>（三）企业债权、债务处理或归属情况说明；</w:t>
      </w:r>
    </w:p>
    <w:p>
      <w:pPr>
        <w:pStyle w:val="3"/>
        <w:spacing w:before="161"/>
        <w:ind w:left="2280"/>
      </w:pPr>
      <w:r>
        <w:t>（四）主管税务机关要求提供的其他资料证明。</w:t>
      </w:r>
    </w:p>
    <w:p>
      <w:pPr>
        <w:pStyle w:val="3"/>
        <w:tabs>
          <w:tab w:val="left" w:pos="3479"/>
        </w:tabs>
        <w:spacing w:before="160" w:line="364" w:lineRule="auto"/>
        <w:ind w:right="1797" w:firstLine="480"/>
      </w:pPr>
      <w:r>
        <w:t>第十一条</w:t>
      </w:r>
      <w:r>
        <w:tab/>
      </w:r>
      <w:r>
        <w:t>企业发</w:t>
      </w:r>
      <w:r>
        <w:rPr>
          <w:spacing w:val="-20"/>
        </w:rPr>
        <w:t>生</w:t>
      </w:r>
      <w:r>
        <w:t>《通知</w:t>
      </w:r>
      <w:r>
        <w:rPr>
          <w:spacing w:val="-20"/>
        </w:rPr>
        <w:t>》</w:t>
      </w:r>
      <w:r>
        <w:t>第四条</w:t>
      </w:r>
      <w:r>
        <w:rPr>
          <w:spacing w:val="-17"/>
        </w:rPr>
        <w:t>第</w:t>
      </w:r>
      <w:r>
        <w:rPr>
          <w:spacing w:val="-3"/>
        </w:rPr>
        <w:t>（</w:t>
      </w:r>
      <w:r>
        <w:t>二</w:t>
      </w:r>
      <w:r>
        <w:rPr>
          <w:spacing w:val="-20"/>
        </w:rPr>
        <w:t>）</w:t>
      </w:r>
      <w:r>
        <w:t>项规定的债务重组</w:t>
      </w:r>
      <w:r>
        <w:rPr>
          <w:spacing w:val="-17"/>
        </w:rPr>
        <w:t>，</w:t>
      </w:r>
      <w:r>
        <w:t>应准备</w:t>
      </w:r>
      <w:r>
        <w:rPr>
          <w:spacing w:val="-13"/>
        </w:rPr>
        <w:t>以</w:t>
      </w:r>
      <w:r>
        <w:t>下相关资料，以备税务机关检查。</w:t>
      </w:r>
    </w:p>
    <w:p>
      <w:pPr>
        <w:pStyle w:val="3"/>
        <w:ind w:left="2248"/>
      </w:pPr>
      <w:r>
        <w:t>（一）以非货币资产清偿债务的，应保留当事各方签订的清偿债务的协议或</w:t>
      </w:r>
    </w:p>
    <w:p>
      <w:pPr>
        <w:spacing w:after="0"/>
        <w:sectPr>
          <w:pgSz w:w="11910" w:h="16840"/>
          <w:pgMar w:top="1540" w:right="0" w:bottom="1380" w:left="0" w:header="965" w:footer="1182" w:gutter="0"/>
          <w:cols w:space="720" w:num="1"/>
        </w:sectPr>
      </w:pPr>
    </w:p>
    <w:p>
      <w:pPr>
        <w:pStyle w:val="3"/>
        <w:spacing w:before="2"/>
        <w:ind w:left="0"/>
        <w:rPr>
          <w:sz w:val="12"/>
        </w:rPr>
      </w:pPr>
    </w:p>
    <w:p>
      <w:pPr>
        <w:pStyle w:val="3"/>
        <w:spacing w:before="67"/>
      </w:pPr>
      <w:r>
        <w:t>合同，以及非货币资产公允价格确认的合法证据等；</w:t>
      </w:r>
    </w:p>
    <w:p>
      <w:pPr>
        <w:pStyle w:val="3"/>
        <w:spacing w:before="160"/>
        <w:ind w:left="2280"/>
      </w:pPr>
      <w:r>
        <w:t>（二）债权转股权的，应保留当事各方签订的债权转股权协议或合同。</w:t>
      </w:r>
    </w:p>
    <w:p>
      <w:pPr>
        <w:pStyle w:val="3"/>
        <w:tabs>
          <w:tab w:val="left" w:pos="3479"/>
        </w:tabs>
        <w:spacing w:before="161" w:line="364" w:lineRule="auto"/>
        <w:ind w:right="1797" w:firstLine="480"/>
      </w:pPr>
      <w:r>
        <w:t>第十二条</w:t>
      </w:r>
      <w:r>
        <w:tab/>
      </w:r>
      <w:r>
        <w:t>企业发</w:t>
      </w:r>
      <w:r>
        <w:rPr>
          <w:spacing w:val="-20"/>
        </w:rPr>
        <w:t>生</w:t>
      </w:r>
      <w:r>
        <w:t>《通知</w:t>
      </w:r>
      <w:r>
        <w:rPr>
          <w:spacing w:val="-20"/>
        </w:rPr>
        <w:t>》</w:t>
      </w:r>
      <w:r>
        <w:t>第四条</w:t>
      </w:r>
      <w:r>
        <w:rPr>
          <w:spacing w:val="-17"/>
        </w:rPr>
        <w:t>第</w:t>
      </w:r>
      <w:r>
        <w:rPr>
          <w:spacing w:val="-3"/>
        </w:rPr>
        <w:t>（</w:t>
      </w:r>
      <w:r>
        <w:t>三</w:t>
      </w:r>
      <w:r>
        <w:rPr>
          <w:spacing w:val="-20"/>
        </w:rPr>
        <w:t>）</w:t>
      </w:r>
      <w:r>
        <w:t>项规定的股权收购</w:t>
      </w:r>
      <w:r>
        <w:rPr>
          <w:spacing w:val="-17"/>
        </w:rPr>
        <w:t>、</w:t>
      </w:r>
      <w:r>
        <w:t>资产收</w:t>
      </w:r>
      <w:r>
        <w:rPr>
          <w:spacing w:val="-13"/>
        </w:rPr>
        <w:t>购</w:t>
      </w:r>
      <w:r>
        <w:t>重组业务，应准备以下相关资料，以备税务机关检查。</w:t>
      </w:r>
    </w:p>
    <w:p>
      <w:pPr>
        <w:pStyle w:val="3"/>
        <w:ind w:left="2280"/>
      </w:pPr>
      <w:r>
        <w:t>（一）当事各方所签订的股权收购、资产收购业务合同或协议；</w:t>
      </w:r>
    </w:p>
    <w:p>
      <w:pPr>
        <w:pStyle w:val="3"/>
        <w:spacing w:before="161"/>
        <w:ind w:left="2280"/>
      </w:pPr>
      <w:r>
        <w:t>（二）相关股权、资产公允价值的合法证据。</w:t>
      </w:r>
    </w:p>
    <w:p>
      <w:pPr>
        <w:pStyle w:val="3"/>
        <w:tabs>
          <w:tab w:val="left" w:pos="3479"/>
        </w:tabs>
        <w:spacing w:before="160"/>
        <w:ind w:left="2280"/>
      </w:pPr>
      <w:r>
        <w:t>第十三条</w:t>
      </w:r>
      <w:r>
        <w:tab/>
      </w:r>
      <w:r>
        <w:fldChar w:fldCharType="begin"/>
      </w:r>
      <w:r>
        <w:instrText xml:space="preserve"> HYPERLINK "http://www.shui5.cn/article/f7/23841.html" \h </w:instrText>
      </w:r>
      <w:r>
        <w:fldChar w:fldCharType="separate"/>
      </w:r>
      <w:r>
        <w:t>企业发生《通知》第四条第（四）项规定的合并，应按照财税</w:t>
      </w:r>
      <w:r>
        <w:fldChar w:fldCharType="end"/>
      </w:r>
    </w:p>
    <w:p>
      <w:pPr>
        <w:pStyle w:val="3"/>
        <w:spacing w:before="161"/>
      </w:pPr>
      <w:r>
        <w:rPr>
          <w:rFonts w:ascii="Calibri" w:eastAsia="Calibri"/>
        </w:rPr>
        <w:t xml:space="preserve">[2009]60 </w:t>
      </w:r>
      <w:r>
        <w:t>号文件规定进行清算。</w:t>
      </w:r>
    </w:p>
    <w:p>
      <w:pPr>
        <w:pStyle w:val="3"/>
        <w:spacing w:before="160"/>
        <w:ind w:left="2280"/>
      </w:pPr>
      <w:r>
        <w:t>被合并企业在报送《企业清算所得纳税申报表》时，应附送以下资料：</w:t>
      </w:r>
    </w:p>
    <w:p>
      <w:pPr>
        <w:pStyle w:val="3"/>
        <w:spacing w:before="161"/>
        <w:ind w:left="2280"/>
      </w:pPr>
      <w:r>
        <w:t>（一）企业合并的工商部门或其他政府部门的批准文件；</w:t>
      </w:r>
    </w:p>
    <w:p>
      <w:pPr>
        <w:pStyle w:val="3"/>
        <w:spacing w:before="160"/>
        <w:ind w:left="2280"/>
      </w:pPr>
      <w:r>
        <w:t>（二）企业全部资产和负债的计税基础以及评估机构出具的资产评估报告；</w:t>
      </w:r>
    </w:p>
    <w:p>
      <w:pPr>
        <w:pStyle w:val="3"/>
        <w:spacing w:before="161"/>
        <w:ind w:left="2280"/>
      </w:pPr>
      <w:r>
        <w:pict>
          <v:shape id="_x0000_s1101" o:spid="_x0000_s1101" o:spt="136" type="#_x0000_t136" style="position:absolute;left:0pt;margin-left:41.25pt;margin-top:24.25pt;height:132pt;width:528.05pt;mso-position-horizontal-relative:page;rotation:20643840f;z-index:-251579392;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t>（三）企业债务处理或归属情况说明；</w:t>
      </w:r>
    </w:p>
    <w:p>
      <w:pPr>
        <w:pStyle w:val="3"/>
        <w:spacing w:before="160"/>
        <w:ind w:left="2280"/>
      </w:pPr>
      <w:r>
        <w:t>（四）主管税务机关要求提供的其他资料证明。</w:t>
      </w:r>
    </w:p>
    <w:p>
      <w:pPr>
        <w:pStyle w:val="3"/>
        <w:tabs>
          <w:tab w:val="left" w:pos="3479"/>
        </w:tabs>
        <w:spacing w:before="161" w:line="364" w:lineRule="auto"/>
        <w:ind w:right="1797" w:firstLine="480"/>
      </w:pPr>
      <w:r>
        <w:t>第十四条</w:t>
      </w:r>
      <w:r>
        <w:tab/>
      </w:r>
      <w:r>
        <w:t>企业发</w:t>
      </w:r>
      <w:r>
        <w:rPr>
          <w:spacing w:val="-20"/>
        </w:rPr>
        <w:t>生</w:t>
      </w:r>
      <w:r>
        <w:t>《通知</w:t>
      </w:r>
      <w:r>
        <w:rPr>
          <w:spacing w:val="-20"/>
        </w:rPr>
        <w:t>》</w:t>
      </w:r>
      <w:r>
        <w:t>第四条</w:t>
      </w:r>
      <w:r>
        <w:rPr>
          <w:spacing w:val="-17"/>
        </w:rPr>
        <w:t>第</w:t>
      </w:r>
      <w:r>
        <w:rPr>
          <w:spacing w:val="-3"/>
        </w:rPr>
        <w:t>（</w:t>
      </w:r>
      <w:r>
        <w:t>五</w:t>
      </w:r>
      <w:r>
        <w:rPr>
          <w:spacing w:val="-20"/>
        </w:rPr>
        <w:t>）</w:t>
      </w:r>
      <w:r>
        <w:t>项规定的分立</w:t>
      </w:r>
      <w:r>
        <w:rPr>
          <w:spacing w:val="-17"/>
        </w:rPr>
        <w:t>，</w:t>
      </w:r>
      <w:r>
        <w:t>被分立企业</w:t>
      </w:r>
      <w:r>
        <w:rPr>
          <w:spacing w:val="-13"/>
        </w:rPr>
        <w:t>不</w:t>
      </w:r>
      <w:r>
        <w:t>再继续存在，应按照财税</w:t>
      </w:r>
      <w:r>
        <w:fldChar w:fldCharType="begin"/>
      </w:r>
      <w:r>
        <w:instrText xml:space="preserve"> HYPERLINK "http://www.shui5.cn/article/f7/23841.html" \h </w:instrText>
      </w:r>
      <w:r>
        <w:fldChar w:fldCharType="separate"/>
      </w:r>
      <w:r>
        <w:rPr>
          <w:rFonts w:ascii="Calibri" w:eastAsia="Calibri"/>
        </w:rPr>
        <w:t>[2009]60</w:t>
      </w:r>
      <w:r>
        <w:rPr>
          <w:rFonts w:ascii="Calibri" w:eastAsia="Calibri"/>
          <w:spacing w:val="3"/>
        </w:rPr>
        <w:t xml:space="preserve"> </w:t>
      </w:r>
      <w:r>
        <w:rPr>
          <w:rFonts w:ascii="Calibri" w:eastAsia="Calibri"/>
          <w:spacing w:val="3"/>
        </w:rPr>
        <w:fldChar w:fldCharType="end"/>
      </w:r>
      <w:r>
        <w:t>号文件规定进行清算。</w:t>
      </w:r>
    </w:p>
    <w:p>
      <w:pPr>
        <w:pStyle w:val="3"/>
        <w:ind w:left="2280"/>
      </w:pPr>
      <w:r>
        <w:t>被分立企业在报送《企业清算所得纳税申报表》时，应附送以下资料：</w:t>
      </w:r>
    </w:p>
    <w:p>
      <w:pPr>
        <w:pStyle w:val="3"/>
        <w:spacing w:before="160"/>
        <w:ind w:left="2280"/>
      </w:pPr>
      <w:r>
        <w:t>（一）企业分立的工商部门或其他政府部门的批准文件；</w:t>
      </w:r>
    </w:p>
    <w:p>
      <w:pPr>
        <w:pStyle w:val="3"/>
        <w:spacing w:before="161"/>
        <w:ind w:left="2280"/>
      </w:pPr>
      <w:r>
        <w:t>（二）被分立企业全部资产的计税基础以及评估机构出具的资产评估报告；</w:t>
      </w:r>
    </w:p>
    <w:p>
      <w:pPr>
        <w:pStyle w:val="3"/>
        <w:spacing w:before="160"/>
        <w:ind w:left="2280"/>
      </w:pPr>
      <w:r>
        <w:t>（三）企业债务处理或归属情况说明；</w:t>
      </w:r>
    </w:p>
    <w:p>
      <w:pPr>
        <w:pStyle w:val="3"/>
        <w:spacing w:before="161"/>
        <w:ind w:left="2280"/>
      </w:pPr>
      <w:r>
        <w:t>（四）主管税务机关要求提供的其他资料证明。</w:t>
      </w:r>
    </w:p>
    <w:p>
      <w:pPr>
        <w:pStyle w:val="3"/>
        <w:tabs>
          <w:tab w:val="left" w:pos="3479"/>
        </w:tabs>
        <w:spacing w:before="160" w:line="364" w:lineRule="auto"/>
        <w:ind w:right="1677" w:firstLine="480"/>
      </w:pPr>
      <w:r>
        <w:t>第十五条</w:t>
      </w:r>
      <w:r>
        <w:tab/>
      </w:r>
      <w:r>
        <w:t>企业合并或分立</w:t>
      </w:r>
      <w:r>
        <w:rPr>
          <w:spacing w:val="-32"/>
        </w:rPr>
        <w:t>，</w:t>
      </w:r>
      <w:r>
        <w:t>合并各方企业或分立企业涉及享</w:t>
      </w:r>
      <w:r>
        <w:rPr>
          <w:spacing w:val="-32"/>
        </w:rPr>
        <w:t>受</w:t>
      </w:r>
      <w:r>
        <w:t>《税法</w:t>
      </w:r>
      <w:r>
        <w:rPr>
          <w:spacing w:val="-32"/>
        </w:rPr>
        <w:t>》</w:t>
      </w:r>
      <w:r>
        <w:t>第五十七条规定中就企业整</w:t>
      </w:r>
      <w:r>
        <w:rPr>
          <w:spacing w:val="-48"/>
        </w:rPr>
        <w:t>体</w:t>
      </w:r>
      <w:r>
        <w:t>（即全部生产经营所得</w:t>
      </w:r>
      <w:r>
        <w:rPr>
          <w:spacing w:val="-46"/>
        </w:rPr>
        <w:t>）</w:t>
      </w:r>
      <w:r>
        <w:t>享受的税收优惠过渡政策尚未期满的</w:t>
      </w:r>
      <w:r>
        <w:rPr>
          <w:spacing w:val="-56"/>
        </w:rPr>
        <w:t>，</w:t>
      </w:r>
      <w:r>
        <w:t>仅就存续企业未享受完的税收优惠</w:t>
      </w:r>
      <w:r>
        <w:rPr>
          <w:spacing w:val="-53"/>
        </w:rPr>
        <w:t>，</w:t>
      </w:r>
      <w:r>
        <w:t>按</w:t>
      </w:r>
      <w:r>
        <w:rPr>
          <w:spacing w:val="-53"/>
        </w:rPr>
        <w:t>照</w:t>
      </w:r>
      <w:r>
        <w:t>《通知</w:t>
      </w:r>
      <w:r>
        <w:rPr>
          <w:spacing w:val="-53"/>
        </w:rPr>
        <w:t>》</w:t>
      </w:r>
      <w:r>
        <w:t>第九条的规定执行</w:t>
      </w:r>
      <w:r>
        <w:rPr>
          <w:spacing w:val="-16"/>
        </w:rPr>
        <w:t xml:space="preserve">； </w:t>
      </w:r>
      <w:r>
        <w:t>注销的被合并或被分立企业未享受完的税收优惠</w:t>
      </w:r>
      <w:r>
        <w:rPr>
          <w:spacing w:val="-48"/>
        </w:rPr>
        <w:t>，</w:t>
      </w:r>
      <w:r>
        <w:t>不再由存续企业承继</w:t>
      </w:r>
      <w:r>
        <w:rPr>
          <w:spacing w:val="-46"/>
        </w:rPr>
        <w:t>；</w:t>
      </w:r>
      <w:r>
        <w:t>合并或分立而新设的企业不得再承继或重新享受上述优惠。合并或分立各方企业按照</w:t>
      </w:r>
    </w:p>
    <w:p>
      <w:pPr>
        <w:pStyle w:val="3"/>
        <w:spacing w:before="3" w:line="364" w:lineRule="auto"/>
        <w:ind w:right="1797"/>
      </w:pPr>
      <w:r>
        <w:rPr>
          <w:spacing w:val="-12"/>
        </w:rPr>
        <w:t>《税法》的税收优惠规定和税收优惠过渡政策中就企业有关生产经营项目的所得</w:t>
      </w:r>
      <w:r>
        <w:t>享受的税收优惠承继问题，按照《实施条例》第八十九条规定执行。</w:t>
      </w:r>
    </w:p>
    <w:p>
      <w:pPr>
        <w:pStyle w:val="3"/>
        <w:tabs>
          <w:tab w:val="left" w:pos="3719"/>
        </w:tabs>
        <w:ind w:left="2760"/>
        <w:rPr>
          <w:rFonts w:ascii="Calibri" w:eastAsia="Calibri"/>
        </w:rPr>
      </w:pPr>
      <w:r>
        <w:t>第三章</w:t>
      </w:r>
      <w:r>
        <w:tab/>
      </w:r>
      <w:r>
        <w:t>企业重组特殊性税务处理管理</w:t>
      </w:r>
      <w:r>
        <w:rPr>
          <w:rFonts w:ascii="Calibri" w:eastAsia="Calibri"/>
        </w:rPr>
        <w:t>?</w:t>
      </w:r>
    </w:p>
    <w:p>
      <w:pPr>
        <w:pStyle w:val="3"/>
        <w:tabs>
          <w:tab w:val="left" w:pos="2999"/>
          <w:tab w:val="left" w:pos="4199"/>
        </w:tabs>
        <w:spacing w:before="161"/>
        <w:ind w:left="2280"/>
      </w:pPr>
      <w:r>
        <w:rPr>
          <w:shd w:val="clear" w:color="auto" w:fill="FFFF00"/>
        </w:rPr>
        <w:t>废止</w:t>
      </w:r>
      <w:r>
        <w:rPr>
          <w:shd w:val="clear" w:color="auto" w:fill="FFFF00"/>
        </w:rPr>
        <w:tab/>
      </w:r>
      <w:r>
        <w:rPr>
          <w:shd w:val="clear" w:color="auto" w:fill="FFFF00"/>
        </w:rPr>
        <w:t>第十六条</w:t>
      </w:r>
      <w:r>
        <w:tab/>
      </w:r>
      <w:r>
        <w:t>企业重组业务</w:t>
      </w:r>
      <w:r>
        <w:rPr>
          <w:spacing w:val="-32"/>
        </w:rPr>
        <w:t>，</w:t>
      </w:r>
      <w:r>
        <w:t>符</w:t>
      </w:r>
      <w:r>
        <w:rPr>
          <w:spacing w:val="-32"/>
        </w:rPr>
        <w:t>合</w:t>
      </w:r>
      <w:r>
        <w:t>《通知</w:t>
      </w:r>
      <w:r>
        <w:rPr>
          <w:spacing w:val="-34"/>
        </w:rPr>
        <w:t>》</w:t>
      </w:r>
      <w:r>
        <w:t>规定条件并选择特殊性税务</w:t>
      </w:r>
    </w:p>
    <w:p>
      <w:pPr>
        <w:spacing w:after="0"/>
        <w:sectPr>
          <w:footerReference r:id="rId13" w:type="default"/>
          <w:pgSz w:w="11910" w:h="16840"/>
          <w:pgMar w:top="1540" w:right="0" w:bottom="1380" w:left="0" w:header="965" w:footer="1182" w:gutter="0"/>
          <w:pgNumType w:start="70"/>
          <w:cols w:space="720" w:num="1"/>
        </w:sectPr>
      </w:pPr>
    </w:p>
    <w:p>
      <w:pPr>
        <w:pStyle w:val="3"/>
        <w:spacing w:before="2"/>
        <w:ind w:left="0"/>
        <w:rPr>
          <w:sz w:val="12"/>
        </w:rPr>
      </w:pPr>
    </w:p>
    <w:p>
      <w:pPr>
        <w:pStyle w:val="3"/>
        <w:spacing w:before="67" w:line="364" w:lineRule="auto"/>
        <w:ind w:right="1797"/>
        <w:jc w:val="both"/>
      </w:pPr>
      <w:r>
        <w:rPr>
          <w:spacing w:val="-11"/>
        </w:rPr>
        <w:t>处理的，应按照《通知》第十一条规定进行备案；如企业重组各方需要税务机关</w:t>
      </w:r>
      <w:r>
        <w:rPr>
          <w:spacing w:val="-10"/>
        </w:rPr>
        <w:t>确认，可以选择由重组主导方向主管税务机关提出申请，层报省税务机关给予确</w:t>
      </w:r>
      <w:r>
        <w:t>认。</w:t>
      </w:r>
    </w:p>
    <w:p>
      <w:pPr>
        <w:pStyle w:val="3"/>
        <w:spacing w:before="2" w:line="364" w:lineRule="auto"/>
        <w:ind w:right="1797" w:firstLine="480"/>
      </w:pPr>
      <w:r>
        <w:rPr>
          <w:spacing w:val="-4"/>
        </w:rPr>
        <w:t>采取申请确认的，主导方和其他当事方不在同一省</w:t>
      </w:r>
      <w:r>
        <w:rPr>
          <w:spacing w:val="-3"/>
        </w:rPr>
        <w:t>（</w:t>
      </w:r>
      <w:r>
        <w:rPr>
          <w:spacing w:val="-4"/>
        </w:rPr>
        <w:t>自治区、市</w:t>
      </w:r>
      <w:r>
        <w:rPr>
          <w:spacing w:val="-20"/>
        </w:rPr>
        <w:t>）</w:t>
      </w:r>
      <w:r>
        <w:rPr>
          <w:spacing w:val="-8"/>
        </w:rPr>
        <w:t>的，主导</w:t>
      </w:r>
      <w:r>
        <w:t>方省税务机关应将确认文件抄送其他当事方所在地省税务机关。</w:t>
      </w:r>
    </w:p>
    <w:p>
      <w:pPr>
        <w:pStyle w:val="3"/>
        <w:spacing w:line="364" w:lineRule="auto"/>
        <w:ind w:right="1797" w:firstLine="480"/>
      </w:pPr>
      <w:r>
        <w:rPr>
          <w:spacing w:val="-8"/>
        </w:rPr>
        <w:t>省税务机关在收到确认申请时，原则上应在当年度企业所得税汇算清缴前完</w:t>
      </w:r>
      <w:r>
        <w:t>成确认。特殊情况，需要延长的，应将延长理由告知主导方。</w:t>
      </w:r>
    </w:p>
    <w:p>
      <w:pPr>
        <w:pStyle w:val="3"/>
        <w:tabs>
          <w:tab w:val="left" w:pos="2999"/>
          <w:tab w:val="left" w:pos="4199"/>
        </w:tabs>
        <w:ind w:left="2280"/>
      </w:pPr>
      <w:r>
        <w:rPr>
          <w:shd w:val="clear" w:color="auto" w:fill="FFFF00"/>
        </w:rPr>
        <w:t>废止</w:t>
      </w:r>
      <w:r>
        <w:rPr>
          <w:shd w:val="clear" w:color="auto" w:fill="FFFF00"/>
        </w:rPr>
        <w:tab/>
      </w:r>
      <w:r>
        <w:rPr>
          <w:shd w:val="clear" w:color="auto" w:fill="FFFF00"/>
        </w:rPr>
        <w:t>第十七条</w:t>
      </w:r>
      <w:r>
        <w:tab/>
      </w:r>
      <w:r>
        <w:t>企业重组主导方，按以下原则确定：</w:t>
      </w:r>
    </w:p>
    <w:p>
      <w:pPr>
        <w:pStyle w:val="3"/>
        <w:spacing w:before="161"/>
        <w:ind w:left="2280"/>
      </w:pPr>
      <w:r>
        <w:t>（一）债务重组为债务人；</w:t>
      </w:r>
    </w:p>
    <w:p>
      <w:pPr>
        <w:pStyle w:val="3"/>
        <w:spacing w:before="160"/>
        <w:ind w:left="2280"/>
      </w:pPr>
      <w:r>
        <w:t>（二）股权收购为股权转让方；</w:t>
      </w:r>
    </w:p>
    <w:p>
      <w:pPr>
        <w:pStyle w:val="3"/>
        <w:spacing w:before="161"/>
        <w:ind w:left="2280"/>
      </w:pPr>
      <w:r>
        <w:t>（三）资产收购为资产转让方；</w:t>
      </w:r>
    </w:p>
    <w:p>
      <w:pPr>
        <w:pStyle w:val="3"/>
        <w:spacing w:before="160"/>
        <w:ind w:left="2208"/>
      </w:pPr>
      <w:r>
        <w:pict>
          <v:shape id="_x0000_s1102" o:spid="_x0000_s1102" o:spt="136" type="#_x0000_t136" style="position:absolute;left:0pt;margin-left:41.25pt;margin-top:24.2pt;height:132pt;width:528.05pt;mso-position-horizontal-relative:page;rotation:20643840f;z-index:-251578368;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t>（四</w:t>
      </w:r>
      <w:r>
        <w:rPr>
          <w:spacing w:val="-72"/>
        </w:rPr>
        <w:t>）</w:t>
      </w:r>
      <w:r>
        <w:rPr>
          <w:spacing w:val="-5"/>
        </w:rPr>
        <w:t>吸收合并为合并后拟存续的企业，新设合并为合并前资产较大的企业；</w:t>
      </w:r>
    </w:p>
    <w:p>
      <w:pPr>
        <w:pStyle w:val="3"/>
        <w:spacing w:before="161"/>
        <w:ind w:left="2280"/>
      </w:pPr>
      <w:r>
        <w:t>（五）分立为被分立的企业或存续企业。</w:t>
      </w:r>
    </w:p>
    <w:p>
      <w:pPr>
        <w:pStyle w:val="3"/>
        <w:tabs>
          <w:tab w:val="left" w:pos="2999"/>
          <w:tab w:val="left" w:pos="4199"/>
        </w:tabs>
        <w:spacing w:before="160" w:line="364" w:lineRule="auto"/>
        <w:ind w:right="1677" w:firstLine="480"/>
      </w:pPr>
      <w:r>
        <w:rPr>
          <w:shd w:val="clear" w:color="auto" w:fill="FFFF00"/>
        </w:rPr>
        <w:t>废止</w:t>
      </w:r>
      <w:r>
        <w:rPr>
          <w:shd w:val="clear" w:color="auto" w:fill="FFFF00"/>
        </w:rPr>
        <w:tab/>
      </w:r>
      <w:r>
        <w:rPr>
          <w:shd w:val="clear" w:color="auto" w:fill="FFFF00"/>
        </w:rPr>
        <w:t>第十八条</w:t>
      </w:r>
      <w:r>
        <w:tab/>
      </w:r>
      <w:r>
        <w:t>企业发生重组业务</w:t>
      </w:r>
      <w:r>
        <w:rPr>
          <w:spacing w:val="-44"/>
        </w:rPr>
        <w:t>，</w:t>
      </w:r>
      <w:r>
        <w:t>按</w:t>
      </w:r>
      <w:r>
        <w:rPr>
          <w:spacing w:val="-41"/>
        </w:rPr>
        <w:t>照</w:t>
      </w:r>
      <w:r>
        <w:rPr>
          <w:spacing w:val="-3"/>
        </w:rPr>
        <w:t>《</w:t>
      </w:r>
      <w:r>
        <w:t>通知</w:t>
      </w:r>
      <w:r>
        <w:rPr>
          <w:spacing w:val="-44"/>
        </w:rPr>
        <w:t>》</w:t>
      </w:r>
      <w:r>
        <w:t>第五条</w:t>
      </w:r>
      <w:r>
        <w:rPr>
          <w:spacing w:val="-41"/>
        </w:rPr>
        <w:t>第</w:t>
      </w:r>
      <w:r>
        <w:rPr>
          <w:spacing w:val="-3"/>
        </w:rPr>
        <w:t>（</w:t>
      </w:r>
      <w:r>
        <w:t>一</w:t>
      </w:r>
      <w:r>
        <w:rPr>
          <w:spacing w:val="-41"/>
        </w:rPr>
        <w:t>）</w:t>
      </w:r>
      <w:r>
        <w:t>项要求</w:t>
      </w:r>
      <w:r>
        <w:rPr>
          <w:spacing w:val="-13"/>
        </w:rPr>
        <w:t xml:space="preserve">， </w:t>
      </w:r>
      <w:r>
        <w:t>企业在备案或提交确认申请时，应从以下方面说明企业重组具有合理的商业目 的：</w:t>
      </w:r>
    </w:p>
    <w:p>
      <w:pPr>
        <w:pStyle w:val="3"/>
        <w:spacing w:before="2" w:line="364" w:lineRule="auto"/>
        <w:ind w:right="1723" w:firstLine="460"/>
      </w:pPr>
      <w:r>
        <w:t>（一）重组活动的交易方式。即重组活动采取的具体形式、交易背景、交易时间、在交易之前和之后的运作方式和有关的商业常规；</w:t>
      </w:r>
    </w:p>
    <w:p>
      <w:pPr>
        <w:pStyle w:val="3"/>
        <w:spacing w:line="364" w:lineRule="auto"/>
        <w:ind w:right="1725" w:firstLine="456"/>
      </w:pPr>
      <w:r>
        <w:t>（二）该项交易的形式及实质。即形式上交易所产生的法律权利和责任，也是该项交易的法律后果。另外，交易实际上或商业上产生的最终结果；</w:t>
      </w:r>
    </w:p>
    <w:p>
      <w:pPr>
        <w:pStyle w:val="3"/>
        <w:ind w:left="2280"/>
      </w:pPr>
      <w:r>
        <w:t>（三）重组活动给交易各方税务状况带来的可能变化；</w:t>
      </w:r>
    </w:p>
    <w:p>
      <w:pPr>
        <w:pStyle w:val="3"/>
        <w:spacing w:before="161"/>
        <w:ind w:left="2280"/>
      </w:pPr>
      <w:r>
        <w:t>（四）重组各方从交易中获得的财务状况变化；</w:t>
      </w:r>
    </w:p>
    <w:p>
      <w:pPr>
        <w:pStyle w:val="3"/>
        <w:spacing w:before="160" w:line="364" w:lineRule="auto"/>
        <w:ind w:right="1737" w:firstLine="432"/>
      </w:pPr>
      <w:r>
        <w:t>（五）重组活动是否给交易各方带来了在市场原则下不会产生的异常经济利益或潜在义务；</w:t>
      </w:r>
    </w:p>
    <w:p>
      <w:pPr>
        <w:pStyle w:val="3"/>
        <w:ind w:left="2280"/>
      </w:pPr>
      <w:r>
        <w:t>（六）非居民企业参与重组活动的情况。</w:t>
      </w:r>
    </w:p>
    <w:p>
      <w:pPr>
        <w:pStyle w:val="3"/>
        <w:tabs>
          <w:tab w:val="left" w:pos="3479"/>
        </w:tabs>
        <w:spacing w:before="161"/>
        <w:ind w:left="2280"/>
      </w:pPr>
      <w:r>
        <w:t>第十九条</w:t>
      </w:r>
      <w:r>
        <w:tab/>
      </w:r>
      <w:r>
        <w:t>《通知》第五条第（三）和第（五）项所称</w:t>
      </w:r>
      <w:r>
        <w:rPr>
          <w:rFonts w:ascii="Calibri" w:hAnsi="Calibri" w:eastAsia="Calibri"/>
        </w:rPr>
        <w:t>“</w:t>
      </w:r>
      <w:r>
        <w:t>企业重组后的连续</w:t>
      </w:r>
    </w:p>
    <w:p>
      <w:pPr>
        <w:pStyle w:val="3"/>
        <w:spacing w:before="160"/>
        <w:jc w:val="both"/>
      </w:pPr>
      <w:r>
        <w:rPr>
          <w:rFonts w:ascii="Calibri" w:hAnsi="Calibri" w:eastAsia="Calibri"/>
        </w:rPr>
        <w:t xml:space="preserve">12 </w:t>
      </w:r>
      <w:r>
        <w:t>个月内</w:t>
      </w:r>
      <w:r>
        <w:rPr>
          <w:rFonts w:ascii="Calibri" w:hAnsi="Calibri" w:eastAsia="Calibri"/>
        </w:rPr>
        <w:t>”</w:t>
      </w:r>
      <w:r>
        <w:t xml:space="preserve">，是指自重组日起计算的连续 </w:t>
      </w:r>
      <w:r>
        <w:rPr>
          <w:rFonts w:ascii="Calibri" w:hAnsi="Calibri" w:eastAsia="Calibri"/>
        </w:rPr>
        <w:t xml:space="preserve">12 </w:t>
      </w:r>
      <w:r>
        <w:t>个月内。</w:t>
      </w:r>
    </w:p>
    <w:p>
      <w:pPr>
        <w:pStyle w:val="3"/>
        <w:tabs>
          <w:tab w:val="left" w:pos="3460"/>
        </w:tabs>
        <w:spacing w:before="161" w:line="364" w:lineRule="auto"/>
        <w:ind w:left="1799" w:right="1797" w:firstLine="480"/>
      </w:pPr>
      <w:r>
        <w:t>第二十条</w:t>
      </w:r>
      <w:r>
        <w:tab/>
      </w:r>
      <w:r>
        <w:t>《通知</w:t>
      </w:r>
      <w:r>
        <w:rPr>
          <w:spacing w:val="-20"/>
        </w:rPr>
        <w:t>》</w:t>
      </w:r>
      <w:r>
        <w:t>第五条</w:t>
      </w:r>
      <w:r>
        <w:rPr>
          <w:spacing w:val="-17"/>
        </w:rPr>
        <w:t>第</w:t>
      </w:r>
      <w:r>
        <w:rPr>
          <w:spacing w:val="-3"/>
        </w:rPr>
        <w:t>（</w:t>
      </w:r>
      <w:r>
        <w:t>五</w:t>
      </w:r>
      <w:r>
        <w:rPr>
          <w:spacing w:val="-20"/>
        </w:rPr>
        <w:t>）</w:t>
      </w:r>
      <w:r>
        <w:t>项规定的原主要股东</w:t>
      </w:r>
      <w:r>
        <w:rPr>
          <w:spacing w:val="-17"/>
        </w:rPr>
        <w:t>，</w:t>
      </w:r>
      <w:r>
        <w:t>是指原持有转</w:t>
      </w:r>
      <w:r>
        <w:rPr>
          <w:spacing w:val="-14"/>
        </w:rPr>
        <w:t>让</w:t>
      </w:r>
      <w:r>
        <w:t>企业或被收购企业</w:t>
      </w:r>
      <w:r>
        <w:rPr>
          <w:spacing w:val="-61"/>
        </w:rPr>
        <w:t xml:space="preserve"> </w:t>
      </w:r>
      <w:r>
        <w:rPr>
          <w:rFonts w:ascii="Calibri" w:eastAsia="Calibri"/>
        </w:rPr>
        <w:t>20%</w:t>
      </w:r>
      <w:r>
        <w:t>以上股权的股东。</w:t>
      </w:r>
    </w:p>
    <w:p>
      <w:pPr>
        <w:spacing w:after="0" w:line="364" w:lineRule="auto"/>
        <w:sectPr>
          <w:pgSz w:w="11910" w:h="16840"/>
          <w:pgMar w:top="1540" w:right="0" w:bottom="1380" w:left="0" w:header="965" w:footer="1182" w:gutter="0"/>
          <w:cols w:space="720" w:num="1"/>
        </w:sectPr>
      </w:pPr>
    </w:p>
    <w:p>
      <w:pPr>
        <w:pStyle w:val="3"/>
        <w:spacing w:before="2"/>
        <w:ind w:left="0"/>
        <w:rPr>
          <w:sz w:val="12"/>
        </w:rPr>
      </w:pPr>
    </w:p>
    <w:p>
      <w:pPr>
        <w:pStyle w:val="3"/>
        <w:tabs>
          <w:tab w:val="left" w:pos="3700"/>
        </w:tabs>
        <w:spacing w:before="67" w:line="364" w:lineRule="auto"/>
        <w:ind w:right="1705" w:firstLine="480"/>
      </w:pPr>
      <w:r>
        <w:t>第二十一条</w:t>
      </w:r>
      <w:r>
        <w:tab/>
      </w:r>
      <w:r>
        <w:t>《通知</w:t>
      </w:r>
      <w:r>
        <w:rPr>
          <w:spacing w:val="-20"/>
        </w:rPr>
        <w:t>》</w:t>
      </w:r>
      <w:r>
        <w:t>第六条</w:t>
      </w:r>
      <w:r>
        <w:rPr>
          <w:spacing w:val="-17"/>
        </w:rPr>
        <w:t>第</w:t>
      </w:r>
      <w:r>
        <w:rPr>
          <w:spacing w:val="-3"/>
        </w:rPr>
        <w:t>（</w:t>
      </w:r>
      <w:r>
        <w:t>四</w:t>
      </w:r>
      <w:r>
        <w:rPr>
          <w:spacing w:val="-20"/>
        </w:rPr>
        <w:t>）</w:t>
      </w:r>
      <w:r>
        <w:t>项规定的同一控制</w:t>
      </w:r>
      <w:r>
        <w:rPr>
          <w:spacing w:val="-17"/>
        </w:rPr>
        <w:t>，</w:t>
      </w:r>
      <w:r>
        <w:t>是指参与合并的企业在合并前后均受同一方或相同的多方最终控制</w:t>
      </w:r>
      <w:r>
        <w:rPr>
          <w:spacing w:val="-48"/>
        </w:rPr>
        <w:t>，</w:t>
      </w:r>
      <w:r>
        <w:t>且该控制并非暂时性的</w:t>
      </w:r>
      <w:r>
        <w:rPr>
          <w:spacing w:val="-46"/>
        </w:rPr>
        <w:t>。</w:t>
      </w:r>
      <w:r>
        <w:t>能够对参与合并的企业在合并前后均实施最终控制权的相同多方</w:t>
      </w:r>
      <w:r>
        <w:rPr>
          <w:spacing w:val="-94"/>
        </w:rPr>
        <w:t>，</w:t>
      </w:r>
      <w:r>
        <w:t>是指根据合同或协议的约定，对参与合并企业的财务和经营政策拥有决定控制权的投资者群体</w:t>
      </w:r>
      <w:r>
        <w:rPr>
          <w:spacing w:val="-19"/>
        </w:rPr>
        <w:t>。</w:t>
      </w:r>
      <w:r>
        <w:t>在企业合并前，参与合并各方受最终控制方的控制在</w:t>
      </w:r>
      <w:r>
        <w:rPr>
          <w:spacing w:val="-60"/>
        </w:rPr>
        <w:t xml:space="preserve"> </w:t>
      </w:r>
      <w:r>
        <w:rPr>
          <w:rFonts w:ascii="Calibri" w:eastAsia="Calibri"/>
        </w:rPr>
        <w:t>12</w:t>
      </w:r>
      <w:r>
        <w:rPr>
          <w:rFonts w:ascii="Calibri" w:eastAsia="Calibri"/>
          <w:spacing w:val="4"/>
        </w:rPr>
        <w:t xml:space="preserve"> </w:t>
      </w:r>
      <w:r>
        <w:t>个月以上，企业合并后</w:t>
      </w:r>
    </w:p>
    <w:p>
      <w:pPr>
        <w:pStyle w:val="3"/>
        <w:spacing w:before="3"/>
      </w:pPr>
      <w:r>
        <w:t xml:space="preserve">所形成的主体在最终控制方的控制时间也应达到连续 </w:t>
      </w:r>
      <w:r>
        <w:rPr>
          <w:rFonts w:ascii="Calibri" w:eastAsia="Calibri"/>
        </w:rPr>
        <w:t xml:space="preserve">12 </w:t>
      </w:r>
      <w:r>
        <w:t>个月。</w:t>
      </w:r>
    </w:p>
    <w:p>
      <w:pPr>
        <w:pStyle w:val="3"/>
        <w:tabs>
          <w:tab w:val="left" w:pos="2999"/>
          <w:tab w:val="left" w:pos="4439"/>
        </w:tabs>
        <w:spacing w:before="160" w:line="364" w:lineRule="auto"/>
        <w:ind w:right="1705" w:firstLine="480"/>
      </w:pPr>
      <w:r>
        <w:rPr>
          <w:shd w:val="clear" w:color="auto" w:fill="FFFF00"/>
        </w:rPr>
        <w:t>废止</w:t>
      </w:r>
      <w:r>
        <w:rPr>
          <w:shd w:val="clear" w:color="auto" w:fill="FFFF00"/>
        </w:rPr>
        <w:tab/>
      </w:r>
      <w:r>
        <w:rPr>
          <w:shd w:val="clear" w:color="auto" w:fill="FFFF00"/>
        </w:rPr>
        <w:t>第二十二条</w:t>
      </w:r>
      <w:r>
        <w:tab/>
      </w:r>
      <w:r>
        <w:t>企业发生《通知》第六条第（一）项规定的债务重组</w:t>
      </w:r>
      <w:r>
        <w:rPr>
          <w:spacing w:val="-18"/>
        </w:rPr>
        <w:t xml:space="preserve">， </w:t>
      </w:r>
      <w:r>
        <w:t>根据不同情形，应准备以下资料：</w:t>
      </w:r>
    </w:p>
    <w:p>
      <w:pPr>
        <w:pStyle w:val="3"/>
        <w:spacing w:before="2"/>
        <w:ind w:left="2236"/>
        <w:rPr>
          <w:rFonts w:ascii="Calibri" w:eastAsia="Calibri"/>
        </w:rPr>
      </w:pPr>
      <w:r>
        <w:t xml:space="preserve">（一）发生债务重组所产生的应纳税所得额占该企业当年应纳税所得额 </w:t>
      </w:r>
      <w:r>
        <w:rPr>
          <w:rFonts w:ascii="Calibri" w:eastAsia="Calibri"/>
        </w:rPr>
        <w:t>50%</w:t>
      </w:r>
    </w:p>
    <w:p>
      <w:pPr>
        <w:pStyle w:val="3"/>
        <w:spacing w:before="160" w:line="364" w:lineRule="auto"/>
        <w:ind w:right="1797"/>
      </w:pPr>
      <w:r>
        <w:rPr>
          <w:spacing w:val="-11"/>
        </w:rPr>
        <w:t xml:space="preserve">以上的，债务重组所得要求在 </w:t>
      </w:r>
      <w:r>
        <w:rPr>
          <w:rFonts w:ascii="Calibri" w:eastAsia="Calibri"/>
        </w:rPr>
        <w:t xml:space="preserve">5 </w:t>
      </w:r>
      <w:r>
        <w:rPr>
          <w:spacing w:val="-6"/>
        </w:rPr>
        <w:t>个纳税年度的期间内，均匀计入各年度应纳税所</w:t>
      </w:r>
      <w:r>
        <w:t>得额的，应准备以下资料：</w:t>
      </w:r>
    </w:p>
    <w:p>
      <w:pPr>
        <w:pStyle w:val="8"/>
        <w:numPr>
          <w:ilvl w:val="0"/>
          <w:numId w:val="83"/>
        </w:numPr>
        <w:tabs>
          <w:tab w:val="left" w:pos="2464"/>
        </w:tabs>
        <w:spacing w:before="1" w:after="0" w:line="364" w:lineRule="auto"/>
        <w:ind w:left="1800" w:right="1797" w:firstLine="480"/>
        <w:jc w:val="left"/>
        <w:rPr>
          <w:rFonts w:hint="eastAsia" w:ascii="宋体" w:eastAsia="宋体"/>
          <w:sz w:val="24"/>
        </w:rPr>
      </w:pPr>
      <w:r>
        <w:pict>
          <v:shape id="_x0000_s1103" o:spid="_x0000_s1103" o:spt="136" type="#_x0000_t136" style="position:absolute;left:0pt;margin-left:41.25pt;margin-top:16.25pt;height:132pt;width:528.05pt;mso-position-horizontal-relative:page;rotation:20643840f;z-index:-251577344;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宋体" w:eastAsia="宋体"/>
          <w:spacing w:val="-2"/>
          <w:sz w:val="24"/>
        </w:rPr>
        <w:t>当事方的债务重组的总体情况说明</w:t>
      </w:r>
      <w:r>
        <w:rPr>
          <w:rFonts w:hint="eastAsia" w:ascii="宋体" w:eastAsia="宋体"/>
          <w:sz w:val="24"/>
        </w:rPr>
        <w:t>（</w:t>
      </w:r>
      <w:r>
        <w:rPr>
          <w:rFonts w:hint="eastAsia" w:ascii="宋体" w:eastAsia="宋体"/>
          <w:spacing w:val="-3"/>
          <w:sz w:val="24"/>
        </w:rPr>
        <w:t>如果采取申请确认的，应为企业的申</w:t>
      </w:r>
      <w:r>
        <w:rPr>
          <w:rFonts w:hint="eastAsia" w:ascii="宋体" w:eastAsia="宋体"/>
          <w:sz w:val="24"/>
        </w:rPr>
        <w:t>请，下同），情况说明中应包括债务重组的商业目的；</w:t>
      </w:r>
    </w:p>
    <w:p>
      <w:pPr>
        <w:pStyle w:val="8"/>
        <w:numPr>
          <w:ilvl w:val="0"/>
          <w:numId w:val="83"/>
        </w:numPr>
        <w:tabs>
          <w:tab w:val="left" w:pos="2464"/>
        </w:tabs>
        <w:spacing w:before="1" w:after="0" w:line="240" w:lineRule="auto"/>
        <w:ind w:left="2463" w:right="0" w:hanging="184"/>
        <w:jc w:val="left"/>
        <w:rPr>
          <w:rFonts w:hint="eastAsia" w:ascii="宋体" w:eastAsia="宋体"/>
          <w:sz w:val="24"/>
        </w:rPr>
      </w:pPr>
      <w:r>
        <w:rPr>
          <w:rFonts w:hint="eastAsia" w:ascii="宋体" w:eastAsia="宋体"/>
          <w:sz w:val="24"/>
        </w:rPr>
        <w:t>当事各方所签订的债务重组合同或协议；</w:t>
      </w:r>
    </w:p>
    <w:p>
      <w:pPr>
        <w:pStyle w:val="8"/>
        <w:numPr>
          <w:ilvl w:val="0"/>
          <w:numId w:val="83"/>
        </w:numPr>
        <w:tabs>
          <w:tab w:val="left" w:pos="2464"/>
        </w:tabs>
        <w:spacing w:before="161" w:after="0" w:line="240" w:lineRule="auto"/>
        <w:ind w:left="2463" w:right="0" w:hanging="184"/>
        <w:jc w:val="left"/>
        <w:rPr>
          <w:rFonts w:hint="eastAsia" w:ascii="宋体" w:eastAsia="宋体"/>
          <w:sz w:val="24"/>
        </w:rPr>
      </w:pPr>
      <w:r>
        <w:rPr>
          <w:rFonts w:hint="eastAsia" w:ascii="宋体" w:eastAsia="宋体"/>
          <w:sz w:val="24"/>
        </w:rPr>
        <w:t>债务重组所产生的应纳税所得额、企业当年应纳税所得额情况说明；</w:t>
      </w:r>
    </w:p>
    <w:p>
      <w:pPr>
        <w:pStyle w:val="8"/>
        <w:numPr>
          <w:ilvl w:val="0"/>
          <w:numId w:val="83"/>
        </w:numPr>
        <w:tabs>
          <w:tab w:val="left" w:pos="2464"/>
        </w:tabs>
        <w:spacing w:before="160" w:after="0" w:line="240" w:lineRule="auto"/>
        <w:ind w:left="2463" w:right="0" w:hanging="184"/>
        <w:jc w:val="left"/>
        <w:rPr>
          <w:rFonts w:hint="eastAsia" w:ascii="宋体" w:eastAsia="宋体"/>
          <w:sz w:val="24"/>
        </w:rPr>
      </w:pPr>
      <w:r>
        <w:rPr>
          <w:rFonts w:hint="eastAsia" w:ascii="宋体" w:eastAsia="宋体"/>
          <w:sz w:val="24"/>
        </w:rPr>
        <w:t>税务机关要求提供的其他资料证明。</w:t>
      </w:r>
    </w:p>
    <w:p>
      <w:pPr>
        <w:pStyle w:val="3"/>
        <w:spacing w:before="161" w:line="364" w:lineRule="auto"/>
        <w:ind w:right="1705" w:firstLine="480"/>
      </w:pPr>
      <w:r>
        <w:t>（二）发生债权转股权业务，债务人对债务清偿业务暂不确认所得或损失， 债权人对股权投资的计税基础以原债权的计税基础确定，应准备以下资料：</w:t>
      </w:r>
    </w:p>
    <w:p>
      <w:pPr>
        <w:pStyle w:val="8"/>
        <w:numPr>
          <w:ilvl w:val="0"/>
          <w:numId w:val="84"/>
        </w:numPr>
        <w:tabs>
          <w:tab w:val="left" w:pos="2464"/>
        </w:tabs>
        <w:spacing w:before="1" w:after="0" w:line="364" w:lineRule="auto"/>
        <w:ind w:left="1800" w:right="1797" w:firstLine="480"/>
        <w:jc w:val="left"/>
        <w:rPr>
          <w:rFonts w:hint="eastAsia" w:ascii="宋体" w:eastAsia="宋体"/>
          <w:sz w:val="24"/>
        </w:rPr>
      </w:pPr>
      <w:r>
        <w:rPr>
          <w:rFonts w:hint="eastAsia" w:ascii="宋体" w:eastAsia="宋体"/>
          <w:spacing w:val="-4"/>
          <w:sz w:val="24"/>
        </w:rPr>
        <w:t>当事方的债务重组的总体情况说明。情况说明中应包括债务重组的商业目</w:t>
      </w:r>
      <w:r>
        <w:rPr>
          <w:rFonts w:hint="eastAsia" w:ascii="宋体" w:eastAsia="宋体"/>
          <w:sz w:val="24"/>
        </w:rPr>
        <w:t>的；</w:t>
      </w:r>
    </w:p>
    <w:p>
      <w:pPr>
        <w:pStyle w:val="8"/>
        <w:numPr>
          <w:ilvl w:val="0"/>
          <w:numId w:val="84"/>
        </w:numPr>
        <w:tabs>
          <w:tab w:val="left" w:pos="2464"/>
        </w:tabs>
        <w:spacing w:before="1" w:after="0" w:line="240" w:lineRule="auto"/>
        <w:ind w:left="2463" w:right="0" w:hanging="184"/>
        <w:jc w:val="left"/>
        <w:rPr>
          <w:rFonts w:hint="eastAsia" w:ascii="宋体" w:eastAsia="宋体"/>
          <w:sz w:val="24"/>
        </w:rPr>
      </w:pPr>
      <w:r>
        <w:rPr>
          <w:rFonts w:hint="eastAsia" w:ascii="宋体" w:eastAsia="宋体"/>
          <w:sz w:val="24"/>
        </w:rPr>
        <w:t>双方所签订的债转股合同或协议；</w:t>
      </w:r>
    </w:p>
    <w:p>
      <w:pPr>
        <w:pStyle w:val="8"/>
        <w:numPr>
          <w:ilvl w:val="0"/>
          <w:numId w:val="84"/>
        </w:numPr>
        <w:tabs>
          <w:tab w:val="left" w:pos="2464"/>
        </w:tabs>
        <w:spacing w:before="161" w:after="0" w:line="240" w:lineRule="auto"/>
        <w:ind w:left="2463" w:right="0" w:hanging="184"/>
        <w:jc w:val="left"/>
        <w:rPr>
          <w:rFonts w:hint="eastAsia" w:ascii="宋体" w:eastAsia="宋体"/>
          <w:sz w:val="24"/>
        </w:rPr>
      </w:pPr>
      <w:r>
        <w:rPr>
          <w:rFonts w:hint="eastAsia" w:ascii="宋体" w:eastAsia="宋体"/>
          <w:sz w:val="24"/>
        </w:rPr>
        <w:t>企业所转换的股权公允价格证明；</w:t>
      </w:r>
    </w:p>
    <w:p>
      <w:pPr>
        <w:pStyle w:val="8"/>
        <w:numPr>
          <w:ilvl w:val="0"/>
          <w:numId w:val="84"/>
        </w:numPr>
        <w:tabs>
          <w:tab w:val="left" w:pos="2464"/>
        </w:tabs>
        <w:spacing w:before="160" w:after="0" w:line="240" w:lineRule="auto"/>
        <w:ind w:left="2463" w:right="0" w:hanging="184"/>
        <w:jc w:val="left"/>
        <w:rPr>
          <w:rFonts w:hint="eastAsia" w:ascii="宋体" w:eastAsia="宋体"/>
          <w:sz w:val="24"/>
        </w:rPr>
      </w:pPr>
      <w:r>
        <w:rPr>
          <w:rFonts w:hint="eastAsia" w:ascii="宋体" w:eastAsia="宋体"/>
          <w:sz w:val="24"/>
        </w:rPr>
        <w:t>工商部门及有关部门核准相关企业股权变更事项证明材料；</w:t>
      </w:r>
    </w:p>
    <w:p>
      <w:pPr>
        <w:pStyle w:val="8"/>
        <w:numPr>
          <w:ilvl w:val="0"/>
          <w:numId w:val="84"/>
        </w:numPr>
        <w:tabs>
          <w:tab w:val="left" w:pos="2464"/>
        </w:tabs>
        <w:spacing w:before="161" w:after="0" w:line="240" w:lineRule="auto"/>
        <w:ind w:left="2463" w:right="0" w:hanging="184"/>
        <w:jc w:val="left"/>
        <w:rPr>
          <w:rFonts w:hint="eastAsia" w:ascii="宋体" w:eastAsia="宋体"/>
          <w:sz w:val="24"/>
        </w:rPr>
      </w:pPr>
      <w:r>
        <w:rPr>
          <w:rFonts w:hint="eastAsia" w:ascii="宋体" w:eastAsia="宋体"/>
          <w:sz w:val="24"/>
        </w:rPr>
        <w:t>税务机关要求提供的其他资料证明。</w:t>
      </w:r>
    </w:p>
    <w:p>
      <w:pPr>
        <w:pStyle w:val="3"/>
        <w:tabs>
          <w:tab w:val="left" w:pos="2999"/>
          <w:tab w:val="left" w:pos="4439"/>
        </w:tabs>
        <w:spacing w:before="160" w:line="364" w:lineRule="auto"/>
        <w:ind w:right="1797" w:firstLine="480"/>
      </w:pPr>
      <w:r>
        <w:rPr>
          <w:shd w:val="clear" w:color="auto" w:fill="FFFF00"/>
        </w:rPr>
        <w:t>废止</w:t>
      </w:r>
      <w:r>
        <w:rPr>
          <w:shd w:val="clear" w:color="auto" w:fill="FFFF00"/>
        </w:rPr>
        <w:tab/>
      </w:r>
      <w:r>
        <w:rPr>
          <w:shd w:val="clear" w:color="auto" w:fill="FFFF00"/>
        </w:rPr>
        <w:t>第二十三条</w:t>
      </w:r>
      <w:r>
        <w:tab/>
      </w:r>
      <w:r>
        <w:t>企业发</w:t>
      </w:r>
      <w:r>
        <w:rPr>
          <w:spacing w:val="-24"/>
        </w:rPr>
        <w:t>生</w:t>
      </w:r>
      <w:r>
        <w:t>《通知</w:t>
      </w:r>
      <w:r>
        <w:rPr>
          <w:spacing w:val="-24"/>
        </w:rPr>
        <w:t>》</w:t>
      </w:r>
      <w:r>
        <w:t>第六条</w:t>
      </w:r>
      <w:r>
        <w:rPr>
          <w:spacing w:val="-22"/>
        </w:rPr>
        <w:t>第</w:t>
      </w:r>
      <w:r>
        <w:rPr>
          <w:spacing w:val="-3"/>
        </w:rPr>
        <w:t>（</w:t>
      </w:r>
      <w:r>
        <w:t>二</w:t>
      </w:r>
      <w:r>
        <w:rPr>
          <w:spacing w:val="-22"/>
        </w:rPr>
        <w:t>）</w:t>
      </w:r>
      <w:r>
        <w:t>项规定的股权收购</w:t>
      </w:r>
      <w:r>
        <w:rPr>
          <w:spacing w:val="-15"/>
        </w:rPr>
        <w:t>业</w:t>
      </w:r>
      <w:r>
        <w:t>务，应准备以下资料：</w:t>
      </w:r>
    </w:p>
    <w:p>
      <w:pPr>
        <w:pStyle w:val="3"/>
        <w:spacing w:before="2" w:line="364" w:lineRule="auto"/>
        <w:ind w:right="1729" w:firstLine="448"/>
      </w:pPr>
      <w:r>
        <w:t>（一）当事方的股权收购业务总体情况说明，情况说明中应包括股权收购的商业目的；</w:t>
      </w:r>
    </w:p>
    <w:p>
      <w:pPr>
        <w:pStyle w:val="3"/>
        <w:ind w:left="2280"/>
      </w:pPr>
      <w:r>
        <w:t>（二）双方或多方所签订的股权收购业务合同或协议；</w:t>
      </w:r>
    </w:p>
    <w:p>
      <w:pPr>
        <w:spacing w:after="0"/>
        <w:sectPr>
          <w:pgSz w:w="11910" w:h="16840"/>
          <w:pgMar w:top="1540" w:right="0" w:bottom="1380" w:left="0" w:header="965" w:footer="1182" w:gutter="0"/>
          <w:cols w:space="720" w:num="1"/>
        </w:sectPr>
      </w:pPr>
    </w:p>
    <w:p>
      <w:pPr>
        <w:pStyle w:val="3"/>
        <w:spacing w:before="2"/>
        <w:ind w:left="0"/>
        <w:rPr>
          <w:sz w:val="12"/>
        </w:rPr>
      </w:pPr>
    </w:p>
    <w:p>
      <w:pPr>
        <w:pStyle w:val="3"/>
        <w:spacing w:before="67"/>
        <w:ind w:left="2280"/>
      </w:pPr>
      <w:r>
        <w:t>（三）由评估机构出具的所转让及支付的股权公允价值；</w:t>
      </w:r>
    </w:p>
    <w:p>
      <w:pPr>
        <w:pStyle w:val="3"/>
        <w:spacing w:before="160" w:line="364" w:lineRule="auto"/>
        <w:ind w:right="1797" w:firstLine="456"/>
        <w:jc w:val="both"/>
      </w:pPr>
      <w:r>
        <w:t>（四</w:t>
      </w:r>
      <w:r>
        <w:rPr>
          <w:spacing w:val="-24"/>
        </w:rPr>
        <w:t>）</w:t>
      </w:r>
      <w:r>
        <w:rPr>
          <w:spacing w:val="-4"/>
        </w:rPr>
        <w:t>证明重组符合特殊性税务处理条件的资料，包括股权比例，支付对价</w:t>
      </w:r>
      <w:r>
        <w:rPr>
          <w:spacing w:val="-10"/>
        </w:rPr>
        <w:t xml:space="preserve">情况，以及 </w:t>
      </w:r>
      <w:r>
        <w:rPr>
          <w:rFonts w:ascii="Calibri" w:eastAsia="Calibri"/>
        </w:rPr>
        <w:t xml:space="preserve">12 </w:t>
      </w:r>
      <w:r>
        <w:t>个月内不改变资产原来的实质性经营活动和原主要股东不转让所取得股权的承诺书等；</w:t>
      </w:r>
    </w:p>
    <w:p>
      <w:pPr>
        <w:pStyle w:val="3"/>
        <w:spacing w:before="2"/>
        <w:ind w:left="2280"/>
      </w:pPr>
      <w:r>
        <w:t>（五）工商等相关部门核准相关企业股权变更事项证明材料；</w:t>
      </w:r>
    </w:p>
    <w:p>
      <w:pPr>
        <w:pStyle w:val="3"/>
        <w:spacing w:before="161"/>
        <w:ind w:left="2280"/>
      </w:pPr>
      <w:r>
        <w:t>（六）税务机关要求的其他材料。</w:t>
      </w:r>
    </w:p>
    <w:p>
      <w:pPr>
        <w:pStyle w:val="3"/>
        <w:tabs>
          <w:tab w:val="left" w:pos="2999"/>
          <w:tab w:val="left" w:pos="4439"/>
        </w:tabs>
        <w:spacing w:before="160" w:line="364" w:lineRule="auto"/>
        <w:ind w:right="1797" w:firstLine="480"/>
      </w:pPr>
      <w:r>
        <w:rPr>
          <w:shd w:val="clear" w:color="auto" w:fill="FFFF00"/>
        </w:rPr>
        <w:t>废止</w:t>
      </w:r>
      <w:r>
        <w:rPr>
          <w:shd w:val="clear" w:color="auto" w:fill="FFFF00"/>
        </w:rPr>
        <w:tab/>
      </w:r>
      <w:r>
        <w:rPr>
          <w:shd w:val="clear" w:color="auto" w:fill="FFFF00"/>
        </w:rPr>
        <w:t>第二十四条</w:t>
      </w:r>
      <w:r>
        <w:tab/>
      </w:r>
      <w:r>
        <w:t>企业发</w:t>
      </w:r>
      <w:r>
        <w:rPr>
          <w:spacing w:val="-24"/>
        </w:rPr>
        <w:t>生</w:t>
      </w:r>
      <w:r>
        <w:t>《通知</w:t>
      </w:r>
      <w:r>
        <w:rPr>
          <w:spacing w:val="-24"/>
        </w:rPr>
        <w:t>》</w:t>
      </w:r>
      <w:r>
        <w:t>第六条</w:t>
      </w:r>
      <w:r>
        <w:rPr>
          <w:spacing w:val="-22"/>
        </w:rPr>
        <w:t>第</w:t>
      </w:r>
      <w:r>
        <w:rPr>
          <w:spacing w:val="-3"/>
        </w:rPr>
        <w:t>（</w:t>
      </w:r>
      <w:r>
        <w:t>三</w:t>
      </w:r>
      <w:r>
        <w:rPr>
          <w:spacing w:val="-22"/>
        </w:rPr>
        <w:t>）</w:t>
      </w:r>
      <w:r>
        <w:t>项规定的资产收购</w:t>
      </w:r>
      <w:r>
        <w:rPr>
          <w:spacing w:val="-15"/>
        </w:rPr>
        <w:t>业</w:t>
      </w:r>
      <w:r>
        <w:t>务，应准备以下资料：</w:t>
      </w:r>
    </w:p>
    <w:p>
      <w:pPr>
        <w:pStyle w:val="3"/>
        <w:spacing w:line="364" w:lineRule="auto"/>
        <w:ind w:right="1729" w:firstLine="448"/>
      </w:pPr>
      <w:r>
        <w:t>（一）当事方的资产收购业务总体情况说明，情况说明中应包括资产收购的商业目的；</w:t>
      </w:r>
    </w:p>
    <w:p>
      <w:pPr>
        <w:pStyle w:val="3"/>
        <w:spacing w:before="2"/>
        <w:ind w:left="2280"/>
      </w:pPr>
      <w:r>
        <w:t>（二）当事各方所签订的资产收购业务合同或协议；</w:t>
      </w:r>
    </w:p>
    <w:p>
      <w:pPr>
        <w:pStyle w:val="3"/>
        <w:spacing w:before="160"/>
        <w:ind w:left="2280"/>
      </w:pPr>
      <w:r>
        <w:pict>
          <v:shape id="_x0000_s1104" o:spid="_x0000_s1104" o:spt="136" type="#_x0000_t136" style="position:absolute;left:0pt;margin-left:41.25pt;margin-top:24.2pt;height:132pt;width:528.05pt;mso-position-horizontal-relative:page;rotation:20643840f;z-index:-251576320;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t>（三）评估机构出具的资产收购所体现的资产评估报告；</w:t>
      </w:r>
    </w:p>
    <w:p>
      <w:pPr>
        <w:pStyle w:val="3"/>
        <w:spacing w:before="161"/>
        <w:ind w:left="2280"/>
      </w:pPr>
      <w:r>
        <w:t>（四）受让企业股权的计税基础的有效凭证；</w:t>
      </w:r>
    </w:p>
    <w:p>
      <w:pPr>
        <w:pStyle w:val="3"/>
        <w:spacing w:before="160" w:line="364" w:lineRule="auto"/>
        <w:ind w:right="1797" w:firstLine="456"/>
        <w:jc w:val="both"/>
      </w:pPr>
      <w:r>
        <w:t>（五</w:t>
      </w:r>
      <w:r>
        <w:rPr>
          <w:spacing w:val="-24"/>
        </w:rPr>
        <w:t>）</w:t>
      </w:r>
      <w:r>
        <w:rPr>
          <w:spacing w:val="-4"/>
        </w:rPr>
        <w:t>证明重组符合特殊性税务处理条件的资料，包括资产收购比例，支付</w:t>
      </w:r>
      <w:r>
        <w:rPr>
          <w:spacing w:val="-8"/>
        </w:rPr>
        <w:t xml:space="preserve">对价情况，以及 </w:t>
      </w:r>
      <w:r>
        <w:rPr>
          <w:rFonts w:ascii="Calibri" w:eastAsia="Calibri"/>
        </w:rPr>
        <w:t xml:space="preserve">12 </w:t>
      </w:r>
      <w:r>
        <w:t>个月内不改变资产原来的实质性经营活动、原主要股东不转让所取得股权的承诺书等；</w:t>
      </w:r>
    </w:p>
    <w:p>
      <w:pPr>
        <w:pStyle w:val="3"/>
        <w:spacing w:before="2"/>
        <w:ind w:left="2280"/>
      </w:pPr>
      <w:r>
        <w:t>（六）工商部门核准相关企业股权变更事项证明材料；</w:t>
      </w:r>
    </w:p>
    <w:p>
      <w:pPr>
        <w:pStyle w:val="3"/>
        <w:spacing w:before="160"/>
        <w:ind w:left="2280"/>
      </w:pPr>
      <w:r>
        <w:t>（七）税务机关要求提供的其他材料证明。</w:t>
      </w:r>
    </w:p>
    <w:p>
      <w:pPr>
        <w:pStyle w:val="3"/>
        <w:tabs>
          <w:tab w:val="left" w:pos="2999"/>
          <w:tab w:val="left" w:pos="4439"/>
        </w:tabs>
        <w:spacing w:before="161" w:line="364" w:lineRule="auto"/>
        <w:ind w:right="1797" w:firstLine="480"/>
      </w:pPr>
      <w:r>
        <w:rPr>
          <w:shd w:val="clear" w:color="auto" w:fill="FFFF00"/>
        </w:rPr>
        <w:t>废止</w:t>
      </w:r>
      <w:r>
        <w:rPr>
          <w:shd w:val="clear" w:color="auto" w:fill="FFFF00"/>
        </w:rPr>
        <w:tab/>
      </w:r>
      <w:r>
        <w:rPr>
          <w:shd w:val="clear" w:color="auto" w:fill="FFFF00"/>
        </w:rPr>
        <w:t>第二十五条</w:t>
      </w:r>
      <w:r>
        <w:tab/>
      </w:r>
      <w:r>
        <w:t>企业发</w:t>
      </w:r>
      <w:r>
        <w:rPr>
          <w:spacing w:val="-20"/>
        </w:rPr>
        <w:t>生</w:t>
      </w:r>
      <w:r>
        <w:t>《通知</w:t>
      </w:r>
      <w:r>
        <w:rPr>
          <w:spacing w:val="-20"/>
        </w:rPr>
        <w:t>》</w:t>
      </w:r>
      <w:r>
        <w:t>第六条</w:t>
      </w:r>
      <w:r>
        <w:rPr>
          <w:spacing w:val="-17"/>
        </w:rPr>
        <w:t>第</w:t>
      </w:r>
      <w:r>
        <w:rPr>
          <w:spacing w:val="-3"/>
        </w:rPr>
        <w:t>（</w:t>
      </w:r>
      <w:r>
        <w:t>四</w:t>
      </w:r>
      <w:r>
        <w:rPr>
          <w:spacing w:val="-20"/>
        </w:rPr>
        <w:t>）</w:t>
      </w:r>
      <w:r>
        <w:t>项规定的合并</w:t>
      </w:r>
      <w:r>
        <w:rPr>
          <w:spacing w:val="-17"/>
        </w:rPr>
        <w:t>，</w:t>
      </w:r>
      <w:r>
        <w:t>应</w:t>
      </w:r>
      <w:r>
        <w:rPr>
          <w:spacing w:val="-13"/>
        </w:rPr>
        <w:t>准</w:t>
      </w:r>
      <w:r>
        <w:t>备以下资料：</w:t>
      </w:r>
    </w:p>
    <w:p>
      <w:pPr>
        <w:pStyle w:val="3"/>
        <w:spacing w:line="364" w:lineRule="auto"/>
        <w:ind w:right="1729" w:firstLine="448"/>
      </w:pPr>
      <w:r>
        <w:t>（一）当事方企业合并的总体情况说明。情况说明中应包括企业合并的商业目的；</w:t>
      </w:r>
    </w:p>
    <w:p>
      <w:pPr>
        <w:pStyle w:val="3"/>
        <w:ind w:left="2280"/>
      </w:pPr>
      <w:r>
        <w:t>（二）企业合并的政府主管部门的批准文件；</w:t>
      </w:r>
    </w:p>
    <w:p>
      <w:pPr>
        <w:pStyle w:val="3"/>
        <w:spacing w:before="161"/>
        <w:ind w:left="2280"/>
      </w:pPr>
      <w:r>
        <w:t>（三）企业合并各方当事人的股权关系说明；</w:t>
      </w:r>
    </w:p>
    <w:p>
      <w:pPr>
        <w:pStyle w:val="3"/>
        <w:spacing w:before="160" w:line="364" w:lineRule="auto"/>
        <w:ind w:right="1729" w:firstLine="448"/>
      </w:pPr>
      <w:r>
        <w:t>（四）被合并企业的净资产、各单项资产和负债及其账面价值和计税基础等相关资料；</w:t>
      </w:r>
    </w:p>
    <w:p>
      <w:pPr>
        <w:pStyle w:val="3"/>
        <w:spacing w:line="364" w:lineRule="auto"/>
        <w:ind w:right="1797" w:firstLine="448"/>
        <w:jc w:val="both"/>
      </w:pPr>
      <w:r>
        <w:t>（五</w:t>
      </w:r>
      <w:r>
        <w:rPr>
          <w:spacing w:val="-32"/>
        </w:rPr>
        <w:t>）</w:t>
      </w:r>
      <w:r>
        <w:rPr>
          <w:spacing w:val="-3"/>
        </w:rPr>
        <w:t>证明重组符合特殊性税务处理条件的资料，包括合并前企业各股东取</w:t>
      </w:r>
      <w:r>
        <w:rPr>
          <w:spacing w:val="-5"/>
        </w:rPr>
        <w:t xml:space="preserve">得股权支付比例情况、以及 </w:t>
      </w:r>
      <w:r>
        <w:rPr>
          <w:rFonts w:ascii="Calibri" w:eastAsia="Calibri"/>
        </w:rPr>
        <w:t xml:space="preserve">12 </w:t>
      </w:r>
      <w:r>
        <w:t>个月内不改变资产原来的实质性经营活动、原主要股东不转让所取得股权的承诺书等；</w:t>
      </w:r>
    </w:p>
    <w:p>
      <w:pPr>
        <w:spacing w:after="0" w:line="364" w:lineRule="auto"/>
        <w:jc w:val="both"/>
        <w:sectPr>
          <w:pgSz w:w="11910" w:h="16840"/>
          <w:pgMar w:top="1540" w:right="0" w:bottom="1380" w:left="0" w:header="965" w:footer="1182" w:gutter="0"/>
          <w:cols w:space="720" w:num="1"/>
        </w:sectPr>
      </w:pPr>
    </w:p>
    <w:p>
      <w:pPr>
        <w:pStyle w:val="3"/>
        <w:spacing w:before="2"/>
        <w:ind w:left="0"/>
        <w:rPr>
          <w:sz w:val="12"/>
        </w:rPr>
      </w:pPr>
    </w:p>
    <w:p>
      <w:pPr>
        <w:pStyle w:val="3"/>
        <w:spacing w:before="67"/>
        <w:ind w:left="2280"/>
      </w:pPr>
      <w:r>
        <w:t>（六）工商部门核准相关企业股权变更事项证明材料；</w:t>
      </w:r>
    </w:p>
    <w:p>
      <w:pPr>
        <w:pStyle w:val="3"/>
        <w:spacing w:before="160"/>
        <w:ind w:left="2280"/>
      </w:pPr>
      <w:r>
        <w:t>（七）主管税务机关要求提供的其他资料证明。</w:t>
      </w:r>
    </w:p>
    <w:p>
      <w:pPr>
        <w:pStyle w:val="3"/>
        <w:spacing w:before="161" w:line="364" w:lineRule="auto"/>
        <w:ind w:right="1797" w:firstLine="480"/>
        <w:jc w:val="both"/>
      </w:pPr>
      <w:r>
        <w:rPr>
          <w:spacing w:val="-1"/>
        </w:rPr>
        <w:t>第二十六条 《通知》第六条第</w:t>
      </w:r>
      <w:r>
        <w:rPr>
          <w:spacing w:val="-3"/>
        </w:rPr>
        <w:t>（</w:t>
      </w:r>
      <w:r>
        <w:t>四</w:t>
      </w:r>
      <w:r>
        <w:rPr>
          <w:spacing w:val="-22"/>
        </w:rPr>
        <w:t>）</w:t>
      </w:r>
      <w:r>
        <w:rPr>
          <w:spacing w:val="-1"/>
        </w:rPr>
        <w:t>项所规定的可由合并企业弥补的被合</w:t>
      </w:r>
      <w:r>
        <w:rPr>
          <w:spacing w:val="-9"/>
        </w:rPr>
        <w:t>并企业亏损的限额，是指按《税法》规定的剩余结转年限内，每年可由合并企业</w:t>
      </w:r>
      <w:r>
        <w:t>弥补的被合并企业亏损的限额。</w:t>
      </w:r>
    </w:p>
    <w:p>
      <w:pPr>
        <w:pStyle w:val="3"/>
        <w:spacing w:before="2" w:line="364" w:lineRule="auto"/>
        <w:ind w:right="1797" w:firstLine="480"/>
        <w:jc w:val="both"/>
      </w:pPr>
      <w:r>
        <w:rPr>
          <w:shd w:val="clear" w:color="auto" w:fill="FFFF00"/>
        </w:rPr>
        <w:t>废止 第二十七条</w:t>
      </w:r>
      <w:r>
        <w:t xml:space="preserve">  企业发生《通知》第六条第（五）项规定的分立，应准备以下资料：</w:t>
      </w:r>
    </w:p>
    <w:p>
      <w:pPr>
        <w:pStyle w:val="3"/>
        <w:spacing w:line="364" w:lineRule="auto"/>
        <w:ind w:right="1729" w:firstLine="448"/>
      </w:pPr>
      <w:r>
        <w:t>（一）当事方企业分立的总体情况说明。情况说明中应包括企业分立的商业目的；</w:t>
      </w:r>
    </w:p>
    <w:p>
      <w:pPr>
        <w:pStyle w:val="3"/>
        <w:ind w:left="2280"/>
      </w:pPr>
      <w:r>
        <w:t>（二）企业分立的政府主管部门的批准文件；</w:t>
      </w:r>
    </w:p>
    <w:p>
      <w:pPr>
        <w:pStyle w:val="3"/>
        <w:spacing w:before="161" w:line="364" w:lineRule="auto"/>
        <w:ind w:right="1729" w:firstLine="448"/>
      </w:pPr>
      <w:r>
        <w:pict>
          <v:shape id="_x0000_s1105" o:spid="_x0000_s1105" o:spt="136" type="#_x0000_t136" style="position:absolute;left:0pt;margin-left:41.25pt;margin-top:47.65pt;height:132pt;width:528.05pt;mso-position-horizontal-relative:page;rotation:20643840f;z-index:-251575296;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t>（三）被分立企业的净资产、各单项资产和负债账面价值和计税基础等相关资料；</w:t>
      </w:r>
    </w:p>
    <w:p>
      <w:pPr>
        <w:pStyle w:val="3"/>
        <w:spacing w:line="364" w:lineRule="auto"/>
        <w:ind w:right="1797" w:firstLine="448"/>
        <w:jc w:val="both"/>
      </w:pPr>
      <w:r>
        <w:t>（四</w:t>
      </w:r>
      <w:r>
        <w:rPr>
          <w:spacing w:val="-32"/>
        </w:rPr>
        <w:t>）</w:t>
      </w:r>
      <w:r>
        <w:rPr>
          <w:spacing w:val="-3"/>
        </w:rPr>
        <w:t>证明重组符合特殊性税务处理条件的资料，包括分立后企业各股东取</w:t>
      </w:r>
      <w:r>
        <w:rPr>
          <w:spacing w:val="-5"/>
        </w:rPr>
        <w:t xml:space="preserve">得股权支付比例情况、以及 </w:t>
      </w:r>
      <w:r>
        <w:rPr>
          <w:rFonts w:ascii="Calibri" w:eastAsia="Calibri"/>
        </w:rPr>
        <w:t xml:space="preserve">12 </w:t>
      </w:r>
      <w:r>
        <w:t>个月内不改变资产原来的实质性经营活动、原主要股东不转让所取得股权的承诺书等；</w:t>
      </w:r>
    </w:p>
    <w:p>
      <w:pPr>
        <w:pStyle w:val="3"/>
        <w:spacing w:before="2" w:line="364" w:lineRule="auto"/>
        <w:ind w:right="1705" w:firstLine="480"/>
      </w:pPr>
      <w:r>
        <w:t>（五）工商部门认定的分立和被分立企业股东股权比例证明材料；分立后， 分立和被分立企业工商营业执照复印件；分立和被分立企业分立业务账务处理复印件；</w:t>
      </w:r>
    </w:p>
    <w:p>
      <w:pPr>
        <w:pStyle w:val="3"/>
        <w:ind w:left="2280"/>
      </w:pPr>
      <w:r>
        <w:t>（六）税务机关要求提供的其他资料证明。</w:t>
      </w:r>
    </w:p>
    <w:p>
      <w:pPr>
        <w:pStyle w:val="3"/>
        <w:tabs>
          <w:tab w:val="left" w:pos="3719"/>
        </w:tabs>
        <w:spacing w:before="161" w:line="364" w:lineRule="auto"/>
        <w:ind w:left="1799" w:right="1705" w:firstLine="480"/>
      </w:pPr>
      <w:r>
        <w:t>第二十八条</w:t>
      </w:r>
      <w:r>
        <w:tab/>
      </w:r>
      <w:r>
        <w:t>根</w:t>
      </w:r>
      <w:r>
        <w:rPr>
          <w:spacing w:val="-20"/>
        </w:rPr>
        <w:t>据</w:t>
      </w:r>
      <w:r>
        <w:t>《通知</w:t>
      </w:r>
      <w:r>
        <w:rPr>
          <w:spacing w:val="-20"/>
        </w:rPr>
        <w:t>》</w:t>
      </w:r>
      <w:r>
        <w:t>第六条</w:t>
      </w:r>
      <w:r>
        <w:rPr>
          <w:spacing w:val="-20"/>
        </w:rPr>
        <w:t>第</w:t>
      </w:r>
      <w:r>
        <w:t>（四</w:t>
      </w:r>
      <w:r>
        <w:rPr>
          <w:spacing w:val="-20"/>
        </w:rPr>
        <w:t>）</w:t>
      </w:r>
      <w:r>
        <w:t>项第</w:t>
      </w:r>
      <w:r>
        <w:rPr>
          <w:spacing w:val="-60"/>
        </w:rPr>
        <w:t xml:space="preserve"> </w:t>
      </w:r>
      <w:r>
        <w:rPr>
          <w:rFonts w:ascii="Calibri" w:eastAsia="Calibri"/>
        </w:rPr>
        <w:t>2</w:t>
      </w:r>
      <w:r>
        <w:rPr>
          <w:rFonts w:ascii="Calibri" w:eastAsia="Calibri"/>
          <w:spacing w:val="6"/>
        </w:rPr>
        <w:t xml:space="preserve"> </w:t>
      </w:r>
      <w:r>
        <w:t>目规定</w:t>
      </w:r>
      <w:r>
        <w:rPr>
          <w:spacing w:val="-20"/>
        </w:rPr>
        <w:t>，</w:t>
      </w:r>
      <w:r>
        <w:t>被合并企业合并前的相关所得税事项由合并企业承继</w:t>
      </w:r>
      <w:r>
        <w:rPr>
          <w:spacing w:val="-8"/>
        </w:rPr>
        <w:t>，</w:t>
      </w:r>
      <w:r>
        <w:t>以及根</w:t>
      </w:r>
      <w:r>
        <w:rPr>
          <w:spacing w:val="-8"/>
        </w:rPr>
        <w:t>据</w:t>
      </w:r>
      <w:r>
        <w:t>《通知</w:t>
      </w:r>
      <w:r>
        <w:rPr>
          <w:spacing w:val="-8"/>
        </w:rPr>
        <w:t>》</w:t>
      </w:r>
      <w:r>
        <w:t>第六条</w:t>
      </w:r>
      <w:r>
        <w:rPr>
          <w:spacing w:val="-8"/>
        </w:rPr>
        <w:t>第</w:t>
      </w:r>
      <w:r>
        <w:t>（五</w:t>
      </w:r>
      <w:r>
        <w:rPr>
          <w:spacing w:val="-8"/>
        </w:rPr>
        <w:t>）</w:t>
      </w:r>
      <w:r>
        <w:t>项第</w:t>
      </w:r>
      <w:r>
        <w:rPr>
          <w:spacing w:val="-60"/>
        </w:rPr>
        <w:t xml:space="preserve"> </w:t>
      </w:r>
      <w:r>
        <w:rPr>
          <w:rFonts w:ascii="Calibri" w:eastAsia="Calibri"/>
        </w:rPr>
        <w:t xml:space="preserve">2 </w:t>
      </w:r>
      <w:r>
        <w:t>目规定</w:t>
      </w:r>
      <w:r>
        <w:rPr>
          <w:spacing w:val="-32"/>
        </w:rPr>
        <w:t>，</w:t>
      </w:r>
      <w:r>
        <w:t>企业分立</w:t>
      </w:r>
      <w:r>
        <w:rPr>
          <w:spacing w:val="-32"/>
        </w:rPr>
        <w:t>，</w:t>
      </w:r>
      <w:r>
        <w:t>已分立资产相应的所得税事项由分立企业承继</w:t>
      </w:r>
      <w:r>
        <w:rPr>
          <w:spacing w:val="-32"/>
        </w:rPr>
        <w:t>，</w:t>
      </w:r>
      <w:r>
        <w:t>这些事项包括尚未确认的资产损失</w:t>
      </w:r>
      <w:r>
        <w:rPr>
          <w:spacing w:val="-94"/>
        </w:rPr>
        <w:t>、</w:t>
      </w:r>
      <w:r>
        <w:t>分期确认收入的处理以及尚未享受期满的税收优惠政策承继处理问题等</w:t>
      </w:r>
      <w:r>
        <w:rPr>
          <w:spacing w:val="-20"/>
        </w:rPr>
        <w:t>。</w:t>
      </w:r>
      <w:r>
        <w:t>其中</w:t>
      </w:r>
      <w:r>
        <w:rPr>
          <w:spacing w:val="-20"/>
        </w:rPr>
        <w:t>，</w:t>
      </w:r>
      <w:r>
        <w:t>对税收优惠政策承继处理问题</w:t>
      </w:r>
      <w:r>
        <w:rPr>
          <w:spacing w:val="-20"/>
        </w:rPr>
        <w:t>，</w:t>
      </w:r>
      <w:r>
        <w:t>凡属于依</w:t>
      </w:r>
      <w:r>
        <w:rPr>
          <w:spacing w:val="-17"/>
        </w:rPr>
        <w:t>照</w:t>
      </w:r>
      <w:r>
        <w:rPr>
          <w:spacing w:val="-3"/>
        </w:rPr>
        <w:t>《</w:t>
      </w:r>
      <w:r>
        <w:t>税法</w:t>
      </w:r>
      <w:r>
        <w:rPr>
          <w:spacing w:val="-17"/>
        </w:rPr>
        <w:t>》</w:t>
      </w:r>
      <w:r>
        <w:t>第五十七条规定中就企业整体（即全部生产经营所得）享受税收优惠过渡政策的</w:t>
      </w:r>
      <w:r>
        <w:rPr>
          <w:spacing w:val="-18"/>
        </w:rPr>
        <w:t xml:space="preserve">， </w:t>
      </w:r>
      <w:r>
        <w:t>合并或分立后的企业性质及适用税收优惠条件未发生改变的</w:t>
      </w:r>
      <w:r>
        <w:rPr>
          <w:spacing w:val="-94"/>
        </w:rPr>
        <w:t>，</w:t>
      </w:r>
      <w:r>
        <w:t>可以继续享受合并前各企业或分立前被分立企业剩余期限的税收优惠</w:t>
      </w:r>
      <w:r>
        <w:rPr>
          <w:spacing w:val="-94"/>
        </w:rPr>
        <w:t>。</w:t>
      </w:r>
      <w:r>
        <w:t>合并前各企业剩余的税收优惠年限不一致的</w:t>
      </w:r>
      <w:r>
        <w:rPr>
          <w:spacing w:val="-48"/>
        </w:rPr>
        <w:t>，</w:t>
      </w:r>
      <w:r>
        <w:t>合并后企业每年度的应纳税所得额</w:t>
      </w:r>
      <w:r>
        <w:rPr>
          <w:spacing w:val="-46"/>
        </w:rPr>
        <w:t>，</w:t>
      </w:r>
      <w:r>
        <w:t>应统一按合并日各合并前企业资产占合并后企业总资产的比例进行划分</w:t>
      </w:r>
      <w:r>
        <w:rPr>
          <w:spacing w:val="-94"/>
        </w:rPr>
        <w:t>，</w:t>
      </w:r>
      <w:r>
        <w:t>再分别按相应的剩余优惠计算应</w:t>
      </w:r>
    </w:p>
    <w:p>
      <w:pPr>
        <w:spacing w:after="0" w:line="364" w:lineRule="auto"/>
        <w:sectPr>
          <w:pgSz w:w="11910" w:h="16840"/>
          <w:pgMar w:top="1540" w:right="0" w:bottom="1380" w:left="0" w:header="965" w:footer="1182" w:gutter="0"/>
          <w:cols w:space="720" w:num="1"/>
        </w:sectPr>
      </w:pPr>
    </w:p>
    <w:p>
      <w:pPr>
        <w:pStyle w:val="3"/>
        <w:spacing w:before="2"/>
        <w:ind w:left="0"/>
        <w:rPr>
          <w:sz w:val="12"/>
        </w:rPr>
      </w:pPr>
    </w:p>
    <w:p>
      <w:pPr>
        <w:pStyle w:val="3"/>
        <w:spacing w:before="67" w:line="364" w:lineRule="auto"/>
        <w:ind w:right="1797"/>
      </w:pPr>
      <w:r>
        <w:rPr>
          <w:spacing w:val="-10"/>
        </w:rPr>
        <w:t>纳税额。合并前各企业或分立前被分立企业按照《税法》的税收优惠规定以及税</w:t>
      </w:r>
      <w:r>
        <w:rPr>
          <w:spacing w:val="-4"/>
        </w:rPr>
        <w:t>收优惠过渡政策中就有关生产经营项目所得享受的税收优惠承继处理问题，按照</w:t>
      </w:r>
    </w:p>
    <w:p>
      <w:pPr>
        <w:pStyle w:val="3"/>
      </w:pPr>
      <w:r>
        <w:t>《实施条例》第八十九条规定执行。</w:t>
      </w:r>
    </w:p>
    <w:p>
      <w:pPr>
        <w:pStyle w:val="3"/>
        <w:spacing w:before="161" w:line="364" w:lineRule="auto"/>
        <w:ind w:right="1797" w:firstLine="480"/>
        <w:jc w:val="both"/>
      </w:pPr>
      <w:r>
        <w:rPr>
          <w:spacing w:val="-5"/>
        </w:rPr>
        <w:t>第二十九条 适用《通知》第五条第</w:t>
      </w:r>
      <w:r>
        <w:t>（三</w:t>
      </w:r>
      <w:r>
        <w:rPr>
          <w:spacing w:val="-15"/>
        </w:rPr>
        <w:t>）</w:t>
      </w:r>
      <w:r>
        <w:rPr>
          <w:spacing w:val="-6"/>
        </w:rPr>
        <w:t>项和第</w:t>
      </w:r>
      <w:r>
        <w:t>（五</w:t>
      </w:r>
      <w:r>
        <w:rPr>
          <w:spacing w:val="-15"/>
        </w:rPr>
        <w:t>）</w:t>
      </w:r>
      <w:r>
        <w:rPr>
          <w:spacing w:val="-2"/>
        </w:rPr>
        <w:t>项的当事各方应在</w:t>
      </w:r>
      <w:r>
        <w:rPr>
          <w:spacing w:val="-5"/>
        </w:rPr>
        <w:t>完成重组业务后的下一年度的企业所得税年度申报时，向主管税务机关提交书面</w:t>
      </w:r>
      <w:r>
        <w:rPr>
          <w:spacing w:val="-4"/>
        </w:rPr>
        <w:t xml:space="preserve">情况说明，以证明企业在重组后的连续 </w:t>
      </w:r>
      <w:r>
        <w:rPr>
          <w:rFonts w:ascii="Calibri" w:eastAsia="Calibri"/>
        </w:rPr>
        <w:t xml:space="preserve">12 </w:t>
      </w:r>
      <w:r>
        <w:t>个月内，有关符合特殊性税务处理的条件未发生改变。</w:t>
      </w:r>
    </w:p>
    <w:p>
      <w:pPr>
        <w:pStyle w:val="3"/>
        <w:tabs>
          <w:tab w:val="left" w:pos="3479"/>
        </w:tabs>
        <w:spacing w:before="2" w:line="364" w:lineRule="auto"/>
        <w:ind w:right="1705" w:firstLine="480"/>
      </w:pPr>
      <w:r>
        <w:t>第三十条</w:t>
      </w:r>
      <w:r>
        <w:tab/>
      </w:r>
      <w:r>
        <w:t>当事方的其中一方在规定时间内发生生产经营业务、公司性质</w:t>
      </w:r>
      <w:r>
        <w:rPr>
          <w:spacing w:val="-18"/>
        </w:rPr>
        <w:t>、</w:t>
      </w:r>
      <w:r>
        <w:t>资产或股权结构等情况变化，致使重组业务不再符合特殊性税务处理条件的</w:t>
      </w:r>
      <w:r>
        <w:rPr>
          <w:rFonts w:ascii="Calibri" w:eastAsia="Calibri"/>
        </w:rPr>
        <w:t>,</w:t>
      </w:r>
      <w:r>
        <w:t>发生变化的当事方应在情况发生变化的</w:t>
      </w:r>
      <w:r>
        <w:rPr>
          <w:spacing w:val="-60"/>
        </w:rPr>
        <w:t xml:space="preserve"> </w:t>
      </w:r>
      <w:r>
        <w:rPr>
          <w:rFonts w:ascii="Calibri" w:eastAsia="Calibri"/>
        </w:rPr>
        <w:t>30</w:t>
      </w:r>
      <w:r>
        <w:rPr>
          <w:rFonts w:ascii="Calibri" w:eastAsia="Calibri"/>
          <w:spacing w:val="4"/>
        </w:rPr>
        <w:t xml:space="preserve"> </w:t>
      </w:r>
      <w:r>
        <w:t>天内书面通知其他所有当事方。主导方</w:t>
      </w:r>
    </w:p>
    <w:p>
      <w:pPr>
        <w:pStyle w:val="3"/>
        <w:spacing w:before="2"/>
      </w:pPr>
      <w:r>
        <w:t xml:space="preserve">在接到通知后 </w:t>
      </w:r>
      <w:r>
        <w:rPr>
          <w:rFonts w:ascii="Calibri" w:eastAsia="Calibri"/>
        </w:rPr>
        <w:t xml:space="preserve">30 </w:t>
      </w:r>
      <w:r>
        <w:t>日内将有关变化通知其主管税务机关。</w:t>
      </w:r>
    </w:p>
    <w:p>
      <w:pPr>
        <w:pStyle w:val="3"/>
        <w:spacing w:before="160" w:line="364" w:lineRule="auto"/>
        <w:ind w:right="1797" w:firstLine="480"/>
        <w:jc w:val="both"/>
      </w:pPr>
      <w:r>
        <w:pict>
          <v:shape id="_x0000_s1106" o:spid="_x0000_s1106" o:spt="136" type="#_x0000_t136" style="position:absolute;left:0pt;margin-left:41.25pt;margin-top:24.2pt;height:132pt;width:528.05pt;mso-position-horizontal-relative:page;rotation:20643840f;z-index:-251574272;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spacing w:val="-5"/>
        </w:rPr>
        <w:t xml:space="preserve">上款所述情况发生变化后 </w:t>
      </w:r>
      <w:r>
        <w:rPr>
          <w:rFonts w:ascii="Calibri" w:eastAsia="Calibri"/>
        </w:rPr>
        <w:t xml:space="preserve">60 </w:t>
      </w:r>
      <w:r>
        <w:t>日内，应按照《通知》第四条的规定调整重组</w:t>
      </w:r>
      <w:r>
        <w:rPr>
          <w:spacing w:val="-11"/>
        </w:rPr>
        <w:t>业务的税务处理。原交易各方应各自按原交易完成时资产和负债的公允价值计算</w:t>
      </w:r>
      <w:r>
        <w:rPr>
          <w:spacing w:val="-10"/>
        </w:rPr>
        <w:t>重组业务的收益或损失，调整交易完成纳税年度的应纳税所得额及相应的资产和</w:t>
      </w:r>
      <w:r>
        <w:rPr>
          <w:spacing w:val="-11"/>
        </w:rPr>
        <w:t>负债的计税基础，并向各自主管税务机关申请调整交易完成纳税年度的企业所得</w:t>
      </w:r>
      <w:r>
        <w:t>税年度申报表。逾期不调整申报的，按照《征管法》的相关规定处理。</w:t>
      </w:r>
    </w:p>
    <w:p>
      <w:pPr>
        <w:pStyle w:val="3"/>
        <w:tabs>
          <w:tab w:val="left" w:pos="3719"/>
        </w:tabs>
        <w:spacing w:before="3" w:line="364" w:lineRule="auto"/>
        <w:ind w:right="1705" w:firstLine="480"/>
      </w:pPr>
      <w:r>
        <w:t>第三十一条</w:t>
      </w:r>
      <w:r>
        <w:tab/>
      </w:r>
      <w:r>
        <w:t>各当事方的主管税务机关应当对企业申报或确认适用特殊性 税务处理的重组业务进行跟踪监管，了解重组企业的动态变化情况。发现问题</w:t>
      </w:r>
      <w:r>
        <w:rPr>
          <w:spacing w:val="-19"/>
        </w:rPr>
        <w:t xml:space="preserve">， </w:t>
      </w:r>
      <w:r>
        <w:t>应及时与其他当事方主管税务机关沟通联系，并按照规定给予调整。</w:t>
      </w:r>
    </w:p>
    <w:p>
      <w:pPr>
        <w:pStyle w:val="3"/>
        <w:tabs>
          <w:tab w:val="left" w:pos="2999"/>
          <w:tab w:val="left" w:pos="4439"/>
        </w:tabs>
        <w:spacing w:before="2" w:line="364" w:lineRule="auto"/>
        <w:ind w:right="1677" w:firstLine="480"/>
      </w:pPr>
      <w:r>
        <w:rPr>
          <w:shd w:val="clear" w:color="auto" w:fill="FFFF00"/>
        </w:rPr>
        <w:t>废止</w:t>
      </w:r>
      <w:r>
        <w:rPr>
          <w:shd w:val="clear" w:color="auto" w:fill="FFFF00"/>
        </w:rPr>
        <w:tab/>
      </w:r>
      <w:r>
        <w:rPr>
          <w:shd w:val="clear" w:color="auto" w:fill="FFFF00"/>
        </w:rPr>
        <w:t>第三十二条</w:t>
      </w:r>
      <w:r>
        <w:tab/>
      </w:r>
      <w:r>
        <w:t>根</w:t>
      </w:r>
      <w:r>
        <w:rPr>
          <w:spacing w:val="-32"/>
        </w:rPr>
        <w:t>据</w:t>
      </w:r>
      <w:r>
        <w:t>《通知</w:t>
      </w:r>
      <w:r>
        <w:rPr>
          <w:spacing w:val="-32"/>
        </w:rPr>
        <w:t>》</w:t>
      </w:r>
      <w:r>
        <w:t>第十条规定</w:t>
      </w:r>
      <w:r>
        <w:rPr>
          <w:spacing w:val="-34"/>
        </w:rPr>
        <w:t>，</w:t>
      </w:r>
      <w:r>
        <w:t>若同一项重组业务涉及在连续</w:t>
      </w:r>
      <w:r>
        <w:rPr>
          <w:spacing w:val="-60"/>
        </w:rPr>
        <w:t xml:space="preserve"> </w:t>
      </w:r>
      <w:r>
        <w:rPr>
          <w:rFonts w:ascii="Calibri" w:eastAsia="Calibri"/>
        </w:rPr>
        <w:t>12</w:t>
      </w:r>
      <w:r>
        <w:rPr>
          <w:rFonts w:ascii="Calibri" w:eastAsia="Calibri"/>
          <w:spacing w:val="4"/>
        </w:rPr>
        <w:t xml:space="preserve"> </w:t>
      </w:r>
      <w:r>
        <w:t>个月内分步交易，且跨两个纳税年度，当事各方在第一步交易完成时预计整个交易可以符合特殊性税务处理条件，可以协商一致选择特殊性税务处理的， 可在第一步交易完成后</w:t>
      </w:r>
      <w:r>
        <w:rPr>
          <w:spacing w:val="-108"/>
        </w:rPr>
        <w:t>，</w:t>
      </w:r>
      <w:r>
        <w:t>适用特殊性税务处理</w:t>
      </w:r>
      <w:r>
        <w:rPr>
          <w:spacing w:val="-106"/>
        </w:rPr>
        <w:t>。</w:t>
      </w:r>
      <w:r>
        <w:t>主管税务机关在审核有关资料后</w:t>
      </w:r>
      <w:r>
        <w:rPr>
          <w:spacing w:val="-17"/>
        </w:rPr>
        <w:t xml:space="preserve">， </w:t>
      </w:r>
      <w:r>
        <w:t>符合条件的</w:t>
      </w:r>
      <w:r>
        <w:rPr>
          <w:spacing w:val="-32"/>
        </w:rPr>
        <w:t>，</w:t>
      </w:r>
      <w:r>
        <w:t>可以暂认可适用特殊性税务处理</w:t>
      </w:r>
      <w:r>
        <w:rPr>
          <w:spacing w:val="-32"/>
        </w:rPr>
        <w:t>。</w:t>
      </w:r>
      <w:r>
        <w:t>第二年进行下一步交易后</w:t>
      </w:r>
      <w:r>
        <w:rPr>
          <w:spacing w:val="-32"/>
        </w:rPr>
        <w:t>，</w:t>
      </w:r>
      <w:r>
        <w:t>应按本办法要求，准备相关资料确认适用特殊性税务处理。</w:t>
      </w:r>
    </w:p>
    <w:p>
      <w:pPr>
        <w:pStyle w:val="3"/>
        <w:spacing w:before="4" w:line="364" w:lineRule="auto"/>
        <w:ind w:right="1797" w:firstLine="480"/>
        <w:jc w:val="both"/>
      </w:pPr>
      <w:r>
        <w:rPr>
          <w:spacing w:val="-7"/>
        </w:rPr>
        <w:t>第三十三条 上述跨年度分步交易，若当事方在首个纳税年度不能预计整个</w:t>
      </w:r>
      <w:r>
        <w:rPr>
          <w:spacing w:val="-6"/>
        </w:rPr>
        <w:t>交易是否符合特殊性税务处理条件，应适用一般性税务处理。在下一纳税年度全</w:t>
      </w:r>
      <w:r>
        <w:rPr>
          <w:spacing w:val="-11"/>
        </w:rPr>
        <w:t>部交易完成后，适用特殊性税务处理的，可以调整上一纳税年度的企业所得税年</w:t>
      </w:r>
      <w:r>
        <w:t>度申报表，涉及多缴税款的，各主管税务机关应退税，或抵缴当年应纳税款。</w:t>
      </w:r>
    </w:p>
    <w:p>
      <w:pPr>
        <w:spacing w:after="0" w:line="364" w:lineRule="auto"/>
        <w:jc w:val="both"/>
        <w:sectPr>
          <w:pgSz w:w="11910" w:h="16840"/>
          <w:pgMar w:top="1540" w:right="0" w:bottom="1380" w:left="0" w:header="965" w:footer="1182" w:gutter="0"/>
          <w:cols w:space="720" w:num="1"/>
        </w:sectPr>
      </w:pPr>
    </w:p>
    <w:p>
      <w:pPr>
        <w:pStyle w:val="3"/>
        <w:spacing w:before="2"/>
        <w:ind w:left="0"/>
        <w:rPr>
          <w:sz w:val="12"/>
        </w:rPr>
      </w:pPr>
    </w:p>
    <w:p>
      <w:pPr>
        <w:pStyle w:val="3"/>
        <w:spacing w:before="67" w:line="364" w:lineRule="auto"/>
        <w:ind w:right="1797" w:firstLine="480"/>
        <w:jc w:val="both"/>
      </w:pPr>
      <w:r>
        <w:t>第三十四条 企业重组的当事各方应该取得并保管与该重组有关的凭证、资料</w:t>
      </w:r>
      <w:r>
        <w:rPr>
          <w:rFonts w:ascii="Calibri" w:eastAsia="Calibri"/>
        </w:rPr>
        <w:t>,</w:t>
      </w:r>
      <w:r>
        <w:t>保管期限按照《征管法》的有关规定执行。</w:t>
      </w:r>
    </w:p>
    <w:p>
      <w:pPr>
        <w:pStyle w:val="3"/>
        <w:ind w:left="2760"/>
        <w:jc w:val="both"/>
        <w:rPr>
          <w:rFonts w:ascii="Calibri" w:eastAsia="Calibri"/>
        </w:rPr>
      </w:pPr>
      <w:r>
        <w:t>第四章 跨境重组税收管理</w:t>
      </w:r>
      <w:r>
        <w:rPr>
          <w:rFonts w:ascii="Calibri" w:eastAsia="Calibri"/>
        </w:rPr>
        <w:t>?</w:t>
      </w:r>
    </w:p>
    <w:p>
      <w:pPr>
        <w:pStyle w:val="3"/>
        <w:spacing w:before="161" w:line="364" w:lineRule="auto"/>
        <w:ind w:right="1801" w:firstLine="480"/>
        <w:jc w:val="both"/>
      </w:pPr>
      <w:r>
        <w:rPr>
          <w:spacing w:val="-10"/>
        </w:rPr>
        <w:t>第三十五条 发生《通知》第七条规定的重组，凡适用特殊性税务处理规定</w:t>
      </w:r>
      <w:r>
        <w:t>的，应按照本办法第三章相关规定执行。</w:t>
      </w:r>
    </w:p>
    <w:p>
      <w:pPr>
        <w:pStyle w:val="3"/>
        <w:spacing w:line="364" w:lineRule="auto"/>
        <w:ind w:right="1797" w:firstLine="480"/>
        <w:jc w:val="both"/>
      </w:pPr>
      <w:r>
        <w:rPr>
          <w:spacing w:val="-4"/>
        </w:rPr>
        <w:t>第三十六条 发生《通知》第七条第</w:t>
      </w:r>
      <w:r>
        <w:t>（一</w:t>
      </w:r>
      <w:r>
        <w:rPr>
          <w:spacing w:val="-12"/>
        </w:rPr>
        <w:t>）</w:t>
      </w:r>
      <w:r>
        <w:rPr>
          <w:spacing w:val="-22"/>
        </w:rPr>
        <w:t>、</w:t>
      </w:r>
      <w:r>
        <w:rPr>
          <w:spacing w:val="-3"/>
        </w:rPr>
        <w:t>（</w:t>
      </w:r>
      <w:r>
        <w:t>二</w:t>
      </w:r>
      <w:r>
        <w:rPr>
          <w:spacing w:val="-12"/>
        </w:rPr>
        <w:t>）</w:t>
      </w:r>
      <w:r>
        <w:rPr>
          <w:spacing w:val="-4"/>
        </w:rPr>
        <w:t>项规定的重组，适用特</w:t>
      </w:r>
      <w:r>
        <w:rPr>
          <w:spacing w:val="-10"/>
        </w:rPr>
        <w:t>殊税务处理的，应按照《国家税务总局关于印发</w:t>
      </w:r>
      <w:r>
        <w:fldChar w:fldCharType="begin"/>
      </w:r>
      <w:r>
        <w:instrText xml:space="preserve"> HYPERLINK "http://www.shui5.cn/article/87/22597.html" \h </w:instrText>
      </w:r>
      <w:r>
        <w:fldChar w:fldCharType="separate"/>
      </w:r>
      <w:r>
        <w:rPr>
          <w:spacing w:val="-2"/>
        </w:rPr>
        <w:t>〈非居民企业所得税源泉扣缴管</w:t>
      </w:r>
      <w:r>
        <w:rPr>
          <w:spacing w:val="-2"/>
        </w:rPr>
        <w:fldChar w:fldCharType="end"/>
      </w:r>
      <w:r>
        <w:t>理暂行办法〉的通知》（国税发</w:t>
      </w:r>
      <w:r>
        <w:fldChar w:fldCharType="begin"/>
      </w:r>
      <w:r>
        <w:instrText xml:space="preserve"> HYPERLINK "http://www.shui5.cn/article/87/22597.html" \h </w:instrText>
      </w:r>
      <w:r>
        <w:fldChar w:fldCharType="separate"/>
      </w:r>
      <w:r>
        <w:rPr>
          <w:rFonts w:ascii="Calibri" w:eastAsia="Calibri"/>
        </w:rPr>
        <w:t xml:space="preserve">[2009]3 </w:t>
      </w:r>
      <w:r>
        <w:rPr>
          <w:rFonts w:ascii="Calibri" w:eastAsia="Calibri"/>
        </w:rPr>
        <w:fldChar w:fldCharType="end"/>
      </w:r>
      <w:r>
        <w:fldChar w:fldCharType="begin"/>
      </w:r>
      <w:r>
        <w:instrText xml:space="preserve"> HYPERLINK "http://www.shui5.cn/article/bf/43280.html" \h </w:instrText>
      </w:r>
      <w:r>
        <w:fldChar w:fldCharType="separate"/>
      </w:r>
      <w:r>
        <w:t>号）和《国家税务总局关于加强非居民</w:t>
      </w:r>
      <w:r>
        <w:fldChar w:fldCharType="end"/>
      </w:r>
      <w:r>
        <w:t>企业股权转让所得企业所得税管理的通知》（国税函</w:t>
      </w:r>
      <w:r>
        <w:fldChar w:fldCharType="begin"/>
      </w:r>
      <w:r>
        <w:instrText xml:space="preserve"> HYPERLINK "http://www.shui5.cn/article/bf/43280.html" \h </w:instrText>
      </w:r>
      <w:r>
        <w:fldChar w:fldCharType="separate"/>
      </w:r>
      <w:r>
        <w:rPr>
          <w:rFonts w:ascii="Calibri" w:eastAsia="Calibri"/>
        </w:rPr>
        <w:t xml:space="preserve">[2009]698 </w:t>
      </w:r>
      <w:r>
        <w:rPr>
          <w:rFonts w:ascii="Calibri" w:eastAsia="Calibri"/>
        </w:rPr>
        <w:fldChar w:fldCharType="end"/>
      </w:r>
      <w:r>
        <w:t>号）要求，准备资料。</w:t>
      </w:r>
    </w:p>
    <w:p>
      <w:pPr>
        <w:pStyle w:val="3"/>
        <w:spacing w:before="3" w:line="364" w:lineRule="auto"/>
        <w:ind w:right="1797" w:firstLine="480"/>
        <w:jc w:val="both"/>
      </w:pPr>
      <w:r>
        <w:pict>
          <v:shape id="_x0000_s1107" o:spid="_x0000_s1107" o:spt="136" type="#_x0000_t136" style="position:absolute;left:0pt;margin-left:41.25pt;margin-top:39.75pt;height:132pt;width:528.05pt;mso-position-horizontal-relative:page;rotation:20643840f;z-index:-251573248;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t>第三十七条 发生《通知》第七条第（三）项规定的重组，居民企业应向其所在地主管税务机关报送以下资料：</w:t>
      </w:r>
    </w:p>
    <w:p>
      <w:pPr>
        <w:pStyle w:val="8"/>
        <w:numPr>
          <w:ilvl w:val="0"/>
          <w:numId w:val="85"/>
        </w:numPr>
        <w:tabs>
          <w:tab w:val="left" w:pos="2464"/>
        </w:tabs>
        <w:spacing w:before="1" w:after="0" w:line="240" w:lineRule="auto"/>
        <w:ind w:left="2463" w:right="0" w:hanging="184"/>
        <w:jc w:val="left"/>
        <w:rPr>
          <w:rFonts w:hint="eastAsia" w:ascii="宋体" w:eastAsia="宋体"/>
          <w:sz w:val="24"/>
        </w:rPr>
      </w:pPr>
      <w:r>
        <w:rPr>
          <w:rFonts w:hint="eastAsia" w:ascii="宋体" w:eastAsia="宋体"/>
          <w:sz w:val="24"/>
        </w:rPr>
        <w:t>当事方的重组情况说明，申请文件中应说明股权转让的商业目的；</w:t>
      </w:r>
    </w:p>
    <w:p>
      <w:pPr>
        <w:pStyle w:val="8"/>
        <w:numPr>
          <w:ilvl w:val="0"/>
          <w:numId w:val="85"/>
        </w:numPr>
        <w:tabs>
          <w:tab w:val="left" w:pos="2464"/>
        </w:tabs>
        <w:spacing w:before="160" w:after="0" w:line="240" w:lineRule="auto"/>
        <w:ind w:left="2463" w:right="0" w:hanging="184"/>
        <w:jc w:val="left"/>
        <w:rPr>
          <w:rFonts w:hint="eastAsia" w:ascii="宋体" w:eastAsia="宋体"/>
          <w:sz w:val="24"/>
        </w:rPr>
      </w:pPr>
      <w:r>
        <w:rPr>
          <w:rFonts w:hint="eastAsia" w:ascii="宋体" w:eastAsia="宋体"/>
          <w:sz w:val="24"/>
        </w:rPr>
        <w:t>双方所签订的股权转让协议；</w:t>
      </w:r>
    </w:p>
    <w:p>
      <w:pPr>
        <w:pStyle w:val="8"/>
        <w:numPr>
          <w:ilvl w:val="0"/>
          <w:numId w:val="85"/>
        </w:numPr>
        <w:tabs>
          <w:tab w:val="left" w:pos="2464"/>
        </w:tabs>
        <w:spacing w:before="161" w:after="0" w:line="240" w:lineRule="auto"/>
        <w:ind w:left="2463" w:right="0" w:hanging="184"/>
        <w:jc w:val="left"/>
        <w:rPr>
          <w:rFonts w:hint="eastAsia" w:ascii="宋体" w:eastAsia="宋体"/>
          <w:sz w:val="24"/>
        </w:rPr>
      </w:pPr>
      <w:r>
        <w:rPr>
          <w:rFonts w:hint="eastAsia" w:ascii="宋体" w:eastAsia="宋体"/>
          <w:sz w:val="24"/>
        </w:rPr>
        <w:t>双方控股情况说明；</w:t>
      </w:r>
    </w:p>
    <w:p>
      <w:pPr>
        <w:pStyle w:val="8"/>
        <w:numPr>
          <w:ilvl w:val="0"/>
          <w:numId w:val="85"/>
        </w:numPr>
        <w:tabs>
          <w:tab w:val="left" w:pos="2464"/>
        </w:tabs>
        <w:spacing w:before="160" w:after="0" w:line="364" w:lineRule="auto"/>
        <w:ind w:left="1800" w:right="1797" w:firstLine="480"/>
        <w:jc w:val="left"/>
        <w:rPr>
          <w:rFonts w:hint="eastAsia" w:ascii="宋体" w:eastAsia="宋体"/>
          <w:sz w:val="24"/>
        </w:rPr>
      </w:pPr>
      <w:r>
        <w:rPr>
          <w:rFonts w:hint="eastAsia" w:ascii="宋体" w:eastAsia="宋体"/>
          <w:spacing w:val="-3"/>
          <w:sz w:val="24"/>
        </w:rPr>
        <w:t>由评估机构出具的资产或股权评估报告。报告中应分别列示涉及的各单项</w:t>
      </w:r>
      <w:r>
        <w:rPr>
          <w:rFonts w:hint="eastAsia" w:ascii="宋体" w:eastAsia="宋体"/>
          <w:sz w:val="24"/>
        </w:rPr>
        <w:t>被转让资产和负债的公允价值；</w:t>
      </w:r>
    </w:p>
    <w:p>
      <w:pPr>
        <w:pStyle w:val="8"/>
        <w:numPr>
          <w:ilvl w:val="0"/>
          <w:numId w:val="85"/>
        </w:numPr>
        <w:tabs>
          <w:tab w:val="left" w:pos="2464"/>
        </w:tabs>
        <w:spacing w:before="2" w:after="0" w:line="364" w:lineRule="auto"/>
        <w:ind w:left="1800" w:right="1797" w:firstLine="480"/>
        <w:jc w:val="both"/>
        <w:rPr>
          <w:rFonts w:hint="eastAsia" w:ascii="宋体" w:eastAsia="宋体"/>
          <w:sz w:val="24"/>
        </w:rPr>
      </w:pPr>
      <w:r>
        <w:rPr>
          <w:rFonts w:hint="eastAsia" w:ascii="宋体" w:eastAsia="宋体"/>
          <w:spacing w:val="-4"/>
          <w:sz w:val="24"/>
        </w:rPr>
        <w:t>证明重组符合特殊性税务处理条件的资料，包括股权或资产转让比例，支</w:t>
      </w:r>
      <w:r>
        <w:rPr>
          <w:rFonts w:hint="eastAsia" w:ascii="宋体" w:eastAsia="宋体"/>
          <w:spacing w:val="-7"/>
          <w:sz w:val="24"/>
        </w:rPr>
        <w:t xml:space="preserve">付对价情况，以及 </w:t>
      </w:r>
      <w:r>
        <w:rPr>
          <w:rFonts w:ascii="Calibri" w:eastAsia="Calibri"/>
          <w:sz w:val="24"/>
        </w:rPr>
        <w:t>12</w:t>
      </w:r>
      <w:r>
        <w:rPr>
          <w:rFonts w:ascii="Calibri" w:eastAsia="Calibri"/>
          <w:spacing w:val="4"/>
          <w:sz w:val="24"/>
        </w:rPr>
        <w:t xml:space="preserve"> </w:t>
      </w:r>
      <w:r>
        <w:rPr>
          <w:rFonts w:hint="eastAsia" w:ascii="宋体" w:eastAsia="宋体"/>
          <w:sz w:val="24"/>
        </w:rPr>
        <w:t>个月内不改变资产原来的实质性经营活动、不转让所取得股权的承诺书等；</w:t>
      </w:r>
    </w:p>
    <w:p>
      <w:pPr>
        <w:pStyle w:val="8"/>
        <w:numPr>
          <w:ilvl w:val="0"/>
          <w:numId w:val="85"/>
        </w:numPr>
        <w:tabs>
          <w:tab w:val="left" w:pos="2464"/>
        </w:tabs>
        <w:spacing w:before="1" w:after="0" w:line="240" w:lineRule="auto"/>
        <w:ind w:left="2463" w:right="0" w:hanging="184"/>
        <w:jc w:val="left"/>
        <w:rPr>
          <w:rFonts w:hint="eastAsia" w:ascii="宋体" w:eastAsia="宋体"/>
          <w:sz w:val="24"/>
        </w:rPr>
      </w:pPr>
      <w:r>
        <w:rPr>
          <w:rFonts w:hint="eastAsia" w:ascii="宋体" w:eastAsia="宋体"/>
          <w:sz w:val="24"/>
        </w:rPr>
        <w:t>税务机关要求的其他材料。</w:t>
      </w:r>
    </w:p>
    <w:p>
      <w:pPr>
        <w:pStyle w:val="8"/>
        <w:numPr>
          <w:ilvl w:val="0"/>
          <w:numId w:val="86"/>
        </w:numPr>
        <w:tabs>
          <w:tab w:val="left" w:pos="2484"/>
        </w:tabs>
        <w:spacing w:before="171" w:after="0" w:line="338" w:lineRule="auto"/>
        <w:ind w:left="1800" w:right="1797" w:firstLine="480"/>
        <w:jc w:val="left"/>
        <w:outlineLvl w:val="2"/>
        <w:rPr>
          <w:sz w:val="24"/>
        </w:rPr>
      </w:pPr>
      <w:bookmarkStart w:id="36" w:name="_bookmark20"/>
      <w:bookmarkEnd w:id="36"/>
      <w:bookmarkStart w:id="37" w:name="_bookmark20"/>
      <w:bookmarkEnd w:id="37"/>
      <w:r>
        <w:rPr>
          <w:color w:val="333333"/>
          <w:spacing w:val="3"/>
          <w:sz w:val="24"/>
        </w:rPr>
        <w:t>《财政部国家税务总局关于促进企业重组有关企业所得税处理问题的通知》（财税〔2014〕109</w:t>
      </w:r>
      <w:r>
        <w:rPr>
          <w:color w:val="333333"/>
          <w:spacing w:val="-7"/>
          <w:sz w:val="24"/>
        </w:rPr>
        <w:t xml:space="preserve"> 号</w:t>
      </w:r>
      <w:r>
        <w:rPr>
          <w:color w:val="333333"/>
          <w:sz w:val="24"/>
        </w:rPr>
        <w:t>）</w:t>
      </w:r>
    </w:p>
    <w:p>
      <w:pPr>
        <w:pStyle w:val="3"/>
        <w:spacing w:before="0" w:line="364" w:lineRule="auto"/>
        <w:ind w:right="1795" w:firstLine="480"/>
      </w:pPr>
      <w:r>
        <w:rPr>
          <w:spacing w:val="-8"/>
        </w:rPr>
        <w:t>各省、自治区、直辖市、计划单列市财政厅</w:t>
      </w:r>
      <w:r>
        <w:rPr>
          <w:spacing w:val="-3"/>
        </w:rPr>
        <w:t>（</w:t>
      </w:r>
      <w:r>
        <w:t>局</w:t>
      </w:r>
      <w:r>
        <w:rPr>
          <w:spacing w:val="-12"/>
        </w:rPr>
        <w:t>）</w:t>
      </w:r>
      <w:r>
        <w:rPr>
          <w:spacing w:val="-7"/>
        </w:rPr>
        <w:t>、国家税务局、地方税务</w:t>
      </w:r>
      <w:r>
        <w:t>局，新疆生产建设兵团财务局：</w:t>
      </w:r>
    </w:p>
    <w:p>
      <w:pPr>
        <w:pStyle w:val="3"/>
        <w:spacing w:before="0"/>
        <w:ind w:left="2280"/>
      </w:pPr>
      <w:r>
        <w:t>为贯彻落实《国务院关于进一步优化企业兼并重组市场环境的意见》（国发</w:t>
      </w:r>
    </w:p>
    <w:p>
      <w:pPr>
        <w:pStyle w:val="3"/>
        <w:spacing w:before="152" w:line="364" w:lineRule="auto"/>
        <w:ind w:right="1795"/>
      </w:pPr>
      <w:r>
        <w:t>〔</w:t>
      </w:r>
      <w:r>
        <w:rPr>
          <w:rFonts w:ascii="Calibri" w:eastAsia="Calibri"/>
        </w:rPr>
        <w:t>2014</w:t>
      </w:r>
      <w:r>
        <w:t>〕</w:t>
      </w:r>
      <w:r>
        <w:rPr>
          <w:rFonts w:ascii="Calibri" w:eastAsia="Calibri"/>
        </w:rPr>
        <w:t xml:space="preserve">14 </w:t>
      </w:r>
      <w:r>
        <w:t>号），根据《中华人民共和国企业所得税法》及其实施条例有关规定，现就企业重组有关企业所得税处理问题明确如下：</w:t>
      </w:r>
    </w:p>
    <w:p>
      <w:pPr>
        <w:spacing w:after="0" w:line="364" w:lineRule="auto"/>
        <w:sectPr>
          <w:pgSz w:w="11910" w:h="16840"/>
          <w:pgMar w:top="1540" w:right="0" w:bottom="1380" w:left="0" w:header="965" w:footer="1182" w:gutter="0"/>
          <w:cols w:space="720" w:num="1"/>
        </w:sectPr>
      </w:pPr>
    </w:p>
    <w:p>
      <w:pPr>
        <w:pStyle w:val="3"/>
        <w:spacing w:before="2"/>
        <w:ind w:left="0"/>
        <w:rPr>
          <w:sz w:val="12"/>
        </w:rPr>
      </w:pPr>
    </w:p>
    <w:p>
      <w:pPr>
        <w:pStyle w:val="3"/>
        <w:spacing w:before="67"/>
        <w:ind w:left="2280"/>
      </w:pPr>
      <w:r>
        <w:t>一、关于股权收购</w:t>
      </w:r>
    </w:p>
    <w:p>
      <w:pPr>
        <w:pStyle w:val="3"/>
        <w:spacing w:before="160" w:line="364" w:lineRule="auto"/>
        <w:ind w:right="1785" w:firstLine="480"/>
        <w:jc w:val="both"/>
      </w:pPr>
      <w:r>
        <w:t>将《财政部 国家税务总局关于企业重组业务企业所得税处理若干问题的通</w:t>
      </w:r>
      <w:r>
        <w:rPr>
          <w:spacing w:val="-4"/>
        </w:rPr>
        <w:t>知》</w:t>
      </w:r>
      <w:r>
        <w:t>（</w:t>
      </w:r>
      <w:r>
        <w:rPr>
          <w:spacing w:val="-2"/>
        </w:rPr>
        <w:t>财税〔</w:t>
      </w:r>
      <w:r>
        <w:rPr>
          <w:rFonts w:ascii="Calibri" w:hAnsi="Calibri" w:eastAsia="Calibri"/>
        </w:rPr>
        <w:t>2009</w:t>
      </w:r>
      <w:r>
        <w:rPr>
          <w:spacing w:val="-3"/>
        </w:rPr>
        <w:t>〕</w:t>
      </w:r>
      <w:r>
        <w:rPr>
          <w:rFonts w:ascii="Calibri" w:hAnsi="Calibri" w:eastAsia="Calibri"/>
        </w:rPr>
        <w:t xml:space="preserve">59 </w:t>
      </w:r>
      <w:r>
        <w:t>号</w:t>
      </w:r>
      <w:r>
        <w:rPr>
          <w:spacing w:val="-3"/>
        </w:rPr>
        <w:t>）</w:t>
      </w:r>
      <w:r>
        <w:t>第六条第（二</w:t>
      </w:r>
      <w:r>
        <w:rPr>
          <w:spacing w:val="-3"/>
        </w:rPr>
        <w:t>）</w:t>
      </w:r>
      <w:r>
        <w:t>项中有关</w:t>
      </w:r>
      <w:r>
        <w:rPr>
          <w:rFonts w:ascii="Calibri" w:hAnsi="Calibri" w:eastAsia="Calibri"/>
        </w:rPr>
        <w:t>“</w:t>
      </w:r>
      <w:r>
        <w:rPr>
          <w:spacing w:val="-1"/>
        </w:rPr>
        <w:t>股权收购，收购企业购买</w:t>
      </w:r>
      <w:r>
        <w:rPr>
          <w:spacing w:val="-5"/>
        </w:rPr>
        <w:t xml:space="preserve">的股权不低于被收购企业全部股权的 </w:t>
      </w:r>
      <w:r>
        <w:rPr>
          <w:rFonts w:ascii="Calibri" w:hAnsi="Calibri" w:eastAsia="Calibri"/>
        </w:rPr>
        <w:t>75%”</w:t>
      </w:r>
      <w:r>
        <w:t>规定调整为</w:t>
      </w:r>
      <w:r>
        <w:rPr>
          <w:rFonts w:ascii="Calibri" w:hAnsi="Calibri" w:eastAsia="Calibri"/>
        </w:rPr>
        <w:t>“</w:t>
      </w:r>
      <w:r>
        <w:rPr>
          <w:spacing w:val="-7"/>
        </w:rPr>
        <w:t>股权收购，收购企业购买</w:t>
      </w:r>
      <w:r>
        <w:rPr>
          <w:spacing w:val="-11"/>
        </w:rPr>
        <w:t xml:space="preserve">的股权不低于被收购企业全部股权的 </w:t>
      </w:r>
      <w:r>
        <w:rPr>
          <w:rFonts w:ascii="Calibri" w:hAnsi="Calibri" w:eastAsia="Calibri"/>
        </w:rPr>
        <w:t>50%”</w:t>
      </w:r>
      <w:r>
        <w:t>。</w:t>
      </w:r>
    </w:p>
    <w:p>
      <w:pPr>
        <w:pStyle w:val="3"/>
        <w:spacing w:before="3"/>
        <w:ind w:left="2280"/>
      </w:pPr>
      <w:r>
        <w:t>二、关于资产收购</w:t>
      </w:r>
    </w:p>
    <w:p>
      <w:pPr>
        <w:pStyle w:val="3"/>
        <w:spacing w:before="160" w:line="364" w:lineRule="auto"/>
        <w:ind w:right="1795" w:firstLine="480"/>
        <w:jc w:val="both"/>
      </w:pPr>
      <w:r>
        <w:rPr>
          <w:spacing w:val="-2"/>
        </w:rPr>
        <w:t>将财税〔</w:t>
      </w:r>
      <w:r>
        <w:rPr>
          <w:rFonts w:ascii="Calibri" w:hAnsi="Calibri" w:eastAsia="Calibri"/>
        </w:rPr>
        <w:t>2009</w:t>
      </w:r>
      <w:r>
        <w:rPr>
          <w:spacing w:val="-5"/>
        </w:rPr>
        <w:t>〕</w:t>
      </w:r>
      <w:r>
        <w:rPr>
          <w:rFonts w:ascii="Calibri" w:hAnsi="Calibri" w:eastAsia="Calibri"/>
        </w:rPr>
        <w:t xml:space="preserve">59 </w:t>
      </w:r>
      <w:r>
        <w:rPr>
          <w:spacing w:val="-1"/>
        </w:rPr>
        <w:t>号文件第六条第</w:t>
      </w:r>
      <w:r>
        <w:t>（三</w:t>
      </w:r>
      <w:r>
        <w:rPr>
          <w:spacing w:val="-5"/>
        </w:rPr>
        <w:t>）</w:t>
      </w:r>
      <w:r>
        <w:t>项中有关</w:t>
      </w:r>
      <w:r>
        <w:rPr>
          <w:rFonts w:ascii="Calibri" w:hAnsi="Calibri" w:eastAsia="Calibri"/>
        </w:rPr>
        <w:t>“</w:t>
      </w:r>
      <w:r>
        <w:rPr>
          <w:spacing w:val="-3"/>
        </w:rPr>
        <w:t>资产收购，受让企业收</w:t>
      </w:r>
      <w:r>
        <w:rPr>
          <w:spacing w:val="-4"/>
        </w:rPr>
        <w:t xml:space="preserve">购的资产不低于转让企业全部资产的 </w:t>
      </w:r>
      <w:r>
        <w:rPr>
          <w:rFonts w:ascii="Calibri" w:hAnsi="Calibri" w:eastAsia="Calibri"/>
        </w:rPr>
        <w:t>75%”</w:t>
      </w:r>
      <w:r>
        <w:t>规定调整为</w:t>
      </w:r>
      <w:r>
        <w:rPr>
          <w:rFonts w:ascii="Calibri" w:hAnsi="Calibri" w:eastAsia="Calibri"/>
        </w:rPr>
        <w:t>“</w:t>
      </w:r>
      <w:r>
        <w:rPr>
          <w:spacing w:val="-8"/>
        </w:rPr>
        <w:t>资产收购，受让企业收购</w:t>
      </w:r>
      <w:r>
        <w:rPr>
          <w:spacing w:val="-4"/>
        </w:rPr>
        <w:t xml:space="preserve">的资产不低于转让企业全部资产的 </w:t>
      </w:r>
      <w:r>
        <w:rPr>
          <w:rFonts w:ascii="Calibri" w:hAnsi="Calibri" w:eastAsia="Calibri"/>
        </w:rPr>
        <w:t>50%”</w:t>
      </w:r>
      <w:r>
        <w:t>。</w:t>
      </w:r>
    </w:p>
    <w:p>
      <w:pPr>
        <w:pStyle w:val="3"/>
        <w:spacing w:before="2"/>
        <w:ind w:left="2280"/>
      </w:pPr>
      <w:r>
        <w:t>三、关于股权、资产划转</w:t>
      </w:r>
    </w:p>
    <w:p>
      <w:pPr>
        <w:pStyle w:val="3"/>
        <w:spacing w:before="161" w:line="364" w:lineRule="auto"/>
        <w:ind w:right="1791" w:firstLine="489"/>
        <w:jc w:val="both"/>
      </w:pPr>
      <w:r>
        <w:pict>
          <v:shape id="_x0000_s1108" o:spid="_x0000_s1108" o:spt="136" type="#_x0000_t136" style="position:absolute;left:0pt;margin-left:41.25pt;margin-top:47.65pt;height:132pt;width:528.05pt;mso-position-horizontal-relative:page;rotation:20643840f;z-index:-251572224;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spacing w:val="-28"/>
        </w:rPr>
        <w:t xml:space="preserve">对 </w:t>
      </w:r>
      <w:r>
        <w:rPr>
          <w:rFonts w:ascii="Calibri" w:eastAsia="Calibri"/>
        </w:rPr>
        <w:t>100%</w:t>
      </w:r>
      <w:r>
        <w:t xml:space="preserve">直接控制的居民企业之间，以及受同一或相同多家居民企业 </w:t>
      </w:r>
      <w:r>
        <w:rPr>
          <w:rFonts w:ascii="Calibri" w:eastAsia="Calibri"/>
        </w:rPr>
        <w:t xml:space="preserve">100% </w:t>
      </w:r>
      <w:r>
        <w:rPr>
          <w:spacing w:val="-5"/>
        </w:rPr>
        <w:t>直接控制的居民企业之间按账面净值划转股权或资产，凡具有合理商业目的、不</w:t>
      </w:r>
      <w:r>
        <w:rPr>
          <w:spacing w:val="-2"/>
        </w:rPr>
        <w:t xml:space="preserve">以减少、免除或者推迟缴纳税款为主要目的，股权或资产划转后连续 </w:t>
      </w:r>
      <w:r>
        <w:rPr>
          <w:rFonts w:ascii="Calibri" w:eastAsia="Calibri"/>
        </w:rPr>
        <w:t xml:space="preserve">12 </w:t>
      </w:r>
      <w:r>
        <w:t>个月内</w:t>
      </w:r>
      <w:r>
        <w:rPr>
          <w:spacing w:val="-6"/>
        </w:rPr>
        <w:t>不改变被划转股权或资产原来实质性经营活动，且划出方企业和划入方企业均未</w:t>
      </w:r>
      <w:r>
        <w:t>在会计上确认损益的，可以选择按以下规定进行特殊性税务处理：</w:t>
      </w:r>
    </w:p>
    <w:p>
      <w:pPr>
        <w:pStyle w:val="3"/>
        <w:spacing w:before="3"/>
        <w:ind w:left="2280"/>
      </w:pPr>
      <w:r>
        <w:rPr>
          <w:rFonts w:ascii="Calibri" w:eastAsia="Calibri"/>
        </w:rPr>
        <w:t>1</w:t>
      </w:r>
      <w:r>
        <w:t>、划出方企业和划入方企业均不确认所得。</w:t>
      </w:r>
    </w:p>
    <w:p>
      <w:pPr>
        <w:pStyle w:val="3"/>
        <w:spacing w:before="160" w:line="364" w:lineRule="auto"/>
        <w:ind w:right="1800" w:firstLine="480"/>
      </w:pPr>
      <w:r>
        <w:rPr>
          <w:rFonts w:ascii="Calibri" w:eastAsia="Calibri"/>
        </w:rPr>
        <w:t>2</w:t>
      </w:r>
      <w:r>
        <w:t>、划入方企业取得被划转股权或资产的计税基础，以被划转股权或资产的原账面净值确定。</w:t>
      </w:r>
    </w:p>
    <w:p>
      <w:pPr>
        <w:pStyle w:val="3"/>
        <w:ind w:left="2280"/>
      </w:pPr>
      <w:r>
        <w:rPr>
          <w:rFonts w:ascii="Calibri" w:eastAsia="Calibri"/>
        </w:rPr>
        <w:t>3</w:t>
      </w:r>
      <w:r>
        <w:t>、划入方企业取得的被划转资产，应按其原账面净值计算折旧扣除。</w:t>
      </w:r>
    </w:p>
    <w:p>
      <w:pPr>
        <w:pStyle w:val="3"/>
        <w:spacing w:before="161" w:line="364" w:lineRule="auto"/>
        <w:ind w:right="1675" w:firstLine="480"/>
      </w:pPr>
      <w:r>
        <w:rPr>
          <w:spacing w:val="-17"/>
        </w:rPr>
        <w:t xml:space="preserve">四、本通知自 </w:t>
      </w:r>
      <w:r>
        <w:rPr>
          <w:rFonts w:ascii="Calibri" w:eastAsia="Calibri"/>
        </w:rPr>
        <w:t xml:space="preserve">2014 </w:t>
      </w:r>
      <w:r>
        <w:rPr>
          <w:spacing w:val="-30"/>
        </w:rPr>
        <w:t xml:space="preserve">年 </w:t>
      </w:r>
      <w:r>
        <w:rPr>
          <w:rFonts w:ascii="Calibri" w:eastAsia="Calibri"/>
        </w:rPr>
        <w:t xml:space="preserve">1 </w:t>
      </w:r>
      <w:r>
        <w:rPr>
          <w:spacing w:val="-30"/>
        </w:rPr>
        <w:t xml:space="preserve">月 </w:t>
      </w:r>
      <w:r>
        <w:rPr>
          <w:rFonts w:ascii="Calibri" w:eastAsia="Calibri"/>
        </w:rPr>
        <w:t xml:space="preserve">1 </w:t>
      </w:r>
      <w:r>
        <w:rPr>
          <w:spacing w:val="-9"/>
        </w:rPr>
        <w:t xml:space="preserve">日起执行。本通知发布前尚未处理的企业重组， </w:t>
      </w:r>
      <w:r>
        <w:t>符合本通知规定的可按本通知执行。</w:t>
      </w:r>
    </w:p>
    <w:p>
      <w:pPr>
        <w:pStyle w:val="8"/>
        <w:numPr>
          <w:ilvl w:val="0"/>
          <w:numId w:val="86"/>
        </w:numPr>
        <w:tabs>
          <w:tab w:val="left" w:pos="2481"/>
        </w:tabs>
        <w:spacing w:before="11" w:after="0" w:line="240" w:lineRule="auto"/>
        <w:ind w:left="2480" w:right="0" w:hanging="201"/>
        <w:jc w:val="left"/>
        <w:rPr>
          <w:sz w:val="24"/>
        </w:rPr>
      </w:pPr>
      <w:bookmarkStart w:id="38" w:name="_bookmark21"/>
      <w:bookmarkEnd w:id="38"/>
      <w:bookmarkStart w:id="39" w:name="_bookmark21"/>
      <w:bookmarkEnd w:id="39"/>
      <w:r>
        <w:rPr>
          <w:color w:val="333333"/>
          <w:sz w:val="24"/>
        </w:rPr>
        <w:t>《国家税务总局关于企业重组业务企业所得税征收管理若干问题的公告》</w:t>
      </w:r>
    </w:p>
    <w:p>
      <w:pPr>
        <w:pStyle w:val="3"/>
        <w:spacing w:before="181"/>
        <w:ind w:left="0" w:right="4099"/>
        <w:jc w:val="center"/>
        <w:rPr>
          <w:rFonts w:hint="eastAsia" w:ascii="微软雅黑" w:eastAsia="微软雅黑"/>
        </w:rPr>
      </w:pPr>
      <w:r>
        <w:rPr>
          <w:rFonts w:hint="eastAsia" w:ascii="微软雅黑" w:eastAsia="微软雅黑"/>
          <w:color w:val="333333"/>
        </w:rPr>
        <w:t>（国家税务总局公告 2015 年第 48 号）</w:t>
      </w:r>
    </w:p>
    <w:p>
      <w:pPr>
        <w:pStyle w:val="3"/>
        <w:spacing w:before="172" w:line="364" w:lineRule="auto"/>
        <w:ind w:right="1705" w:firstLine="480"/>
      </w:pPr>
      <w:r>
        <w:rPr>
          <w:spacing w:val="-8"/>
        </w:rPr>
        <w:t>根据《中华人民共和国企业所得税法》及其实施条例、《中华人民共和国税</w:t>
      </w:r>
      <w:r>
        <w:rPr>
          <w:spacing w:val="-9"/>
        </w:rPr>
        <w:t>收征收管理法》及其实施细则、《国务院关于取消非行政许可审批事项的决定》</w:t>
      </w:r>
    </w:p>
    <w:p>
      <w:pPr>
        <w:pStyle w:val="3"/>
        <w:spacing w:line="364" w:lineRule="auto"/>
        <w:ind w:right="1790"/>
        <w:jc w:val="both"/>
      </w:pPr>
      <w:r>
        <w:t>（</w:t>
      </w:r>
      <w:r>
        <w:rPr>
          <w:spacing w:val="-4"/>
        </w:rPr>
        <w:t>国发〔</w:t>
      </w:r>
      <w:r>
        <w:rPr>
          <w:rFonts w:ascii="Calibri" w:eastAsia="Calibri"/>
        </w:rPr>
        <w:t>2015</w:t>
      </w:r>
      <w:r>
        <w:rPr>
          <w:spacing w:val="-10"/>
        </w:rPr>
        <w:t>〕</w:t>
      </w:r>
      <w:r>
        <w:rPr>
          <w:rFonts w:ascii="Calibri" w:eastAsia="Calibri"/>
        </w:rPr>
        <w:t>27</w:t>
      </w:r>
      <w:r>
        <w:rPr>
          <w:rFonts w:ascii="Calibri" w:eastAsia="Calibri"/>
          <w:spacing w:val="6"/>
        </w:rPr>
        <w:t xml:space="preserve"> </w:t>
      </w:r>
      <w:r>
        <w:t>号</w:t>
      </w:r>
      <w:r>
        <w:rPr>
          <w:spacing w:val="-10"/>
        </w:rPr>
        <w:t>）</w:t>
      </w:r>
      <w:r>
        <w:rPr>
          <w:spacing w:val="-3"/>
        </w:rPr>
        <w:t>、《财政部 国家税务总局关于企业重组业务企业所得税</w:t>
      </w:r>
      <w:r>
        <w:rPr>
          <w:spacing w:val="-5"/>
        </w:rPr>
        <w:t>处理若干问题的通知》</w:t>
      </w:r>
      <w:r>
        <w:t>（</w:t>
      </w:r>
      <w:r>
        <w:rPr>
          <w:spacing w:val="-3"/>
        </w:rPr>
        <w:t>财税〔</w:t>
      </w:r>
      <w:r>
        <w:rPr>
          <w:rFonts w:ascii="Calibri" w:eastAsia="Calibri"/>
        </w:rPr>
        <w:t>2009</w:t>
      </w:r>
      <w:r>
        <w:rPr>
          <w:spacing w:val="-8"/>
        </w:rPr>
        <w:t>〕</w:t>
      </w:r>
      <w:r>
        <w:rPr>
          <w:rFonts w:ascii="Calibri" w:eastAsia="Calibri"/>
        </w:rPr>
        <w:t>59</w:t>
      </w:r>
      <w:r>
        <w:rPr>
          <w:rFonts w:ascii="Calibri" w:eastAsia="Calibri"/>
          <w:spacing w:val="4"/>
        </w:rPr>
        <w:t xml:space="preserve"> </w:t>
      </w:r>
      <w:r>
        <w:t>号</w:t>
      </w:r>
      <w:r>
        <w:rPr>
          <w:spacing w:val="-8"/>
        </w:rPr>
        <w:t>）</w:t>
      </w:r>
      <w:r>
        <w:rPr>
          <w:spacing w:val="-3"/>
        </w:rPr>
        <w:t>和《财政部 国家税务总局关于促</w:t>
      </w:r>
      <w:r>
        <w:rPr>
          <w:spacing w:val="-1"/>
        </w:rPr>
        <w:t>进企业重组有关企业所得税处理问题的通知》</w:t>
      </w:r>
      <w:r>
        <w:t>（</w:t>
      </w:r>
      <w:r>
        <w:rPr>
          <w:spacing w:val="-4"/>
        </w:rPr>
        <w:t>财税〔</w:t>
      </w:r>
      <w:r>
        <w:rPr>
          <w:rFonts w:ascii="Calibri" w:eastAsia="Calibri"/>
        </w:rPr>
        <w:t>2014</w:t>
      </w:r>
      <w:r>
        <w:rPr>
          <w:spacing w:val="-10"/>
        </w:rPr>
        <w:t>〕</w:t>
      </w:r>
      <w:r>
        <w:rPr>
          <w:rFonts w:ascii="Calibri" w:eastAsia="Calibri"/>
        </w:rPr>
        <w:t>109</w:t>
      </w:r>
      <w:r>
        <w:rPr>
          <w:rFonts w:ascii="Calibri" w:eastAsia="Calibri"/>
          <w:spacing w:val="6"/>
        </w:rPr>
        <w:t xml:space="preserve"> </w:t>
      </w:r>
      <w:r>
        <w:t>号</w:t>
      </w:r>
      <w:r>
        <w:rPr>
          <w:spacing w:val="-8"/>
        </w:rPr>
        <w:t>）</w:t>
      </w:r>
      <w:r>
        <w:rPr>
          <w:spacing w:val="-3"/>
        </w:rPr>
        <w:t>等有关规</w:t>
      </w:r>
    </w:p>
    <w:p>
      <w:pPr>
        <w:spacing w:after="0" w:line="364" w:lineRule="auto"/>
        <w:jc w:val="both"/>
        <w:sectPr>
          <w:pgSz w:w="11910" w:h="16840"/>
          <w:pgMar w:top="1540" w:right="0" w:bottom="1380" w:left="0" w:header="965" w:footer="1182" w:gutter="0"/>
          <w:cols w:space="720" w:num="1"/>
        </w:sectPr>
      </w:pPr>
    </w:p>
    <w:p>
      <w:pPr>
        <w:pStyle w:val="3"/>
        <w:spacing w:before="2"/>
        <w:ind w:left="0"/>
        <w:rPr>
          <w:sz w:val="12"/>
        </w:rPr>
      </w:pPr>
    </w:p>
    <w:p>
      <w:pPr>
        <w:pStyle w:val="3"/>
        <w:spacing w:before="67" w:line="364" w:lineRule="auto"/>
        <w:ind w:left="2280" w:right="3385" w:hanging="480"/>
      </w:pPr>
      <w:r>
        <w:t>定，现对企业重组业务企业所得税征收管理若干问题公告如下： 一、按照重组类型，企业重组的当事各方是指：</w:t>
      </w:r>
    </w:p>
    <w:p>
      <w:pPr>
        <w:pStyle w:val="3"/>
        <w:ind w:left="2280"/>
      </w:pPr>
      <w:r>
        <w:t>（一）债务重组中当事各方，指债务人、债权人。</w:t>
      </w:r>
    </w:p>
    <w:p>
      <w:pPr>
        <w:pStyle w:val="3"/>
        <w:spacing w:before="161"/>
        <w:ind w:left="2280"/>
      </w:pPr>
      <w:r>
        <w:t>（二）股权收购中当事各方，指收购方、转让方及被收购企业。</w:t>
      </w:r>
    </w:p>
    <w:p>
      <w:pPr>
        <w:pStyle w:val="3"/>
        <w:spacing w:before="160"/>
        <w:ind w:left="2280"/>
      </w:pPr>
      <w:r>
        <w:t>（三）资产收购中当事各方，指收购方、转让方。</w:t>
      </w:r>
    </w:p>
    <w:p>
      <w:pPr>
        <w:pStyle w:val="3"/>
        <w:spacing w:before="161"/>
        <w:ind w:left="2280"/>
      </w:pPr>
      <w:r>
        <w:t>（四）合并中当事各方，指合并企业、被合并企业及被合并企业股东。</w:t>
      </w:r>
    </w:p>
    <w:p>
      <w:pPr>
        <w:pStyle w:val="3"/>
        <w:spacing w:before="160"/>
        <w:ind w:left="2280"/>
      </w:pPr>
      <w:r>
        <w:t>（五）分立中当事各方，指分立企业、被分立企业及被分立企业股东。</w:t>
      </w:r>
    </w:p>
    <w:p>
      <w:pPr>
        <w:pStyle w:val="3"/>
        <w:spacing w:before="161" w:line="364" w:lineRule="auto"/>
        <w:ind w:right="1797" w:firstLine="480"/>
      </w:pPr>
      <w:r>
        <w:rPr>
          <w:spacing w:val="-10"/>
        </w:rPr>
        <w:t>上述重组交易中，股权收购中转让方、合并中被合并企业股东和分立中被分</w:t>
      </w:r>
      <w:r>
        <w:t>立企业股东，可以是自然人。</w:t>
      </w:r>
    </w:p>
    <w:p>
      <w:pPr>
        <w:pStyle w:val="3"/>
        <w:ind w:left="2280"/>
      </w:pPr>
      <w:r>
        <w:t>当事各方中的自然人应按个人所得税的相关规定进行税务处理。</w:t>
      </w:r>
    </w:p>
    <w:p>
      <w:pPr>
        <w:pStyle w:val="3"/>
        <w:spacing w:before="160" w:line="364" w:lineRule="auto"/>
        <w:ind w:right="1675" w:firstLine="480"/>
      </w:pPr>
      <w:r>
        <w:pict>
          <v:shape id="_x0000_s1109" o:spid="_x0000_s1109" o:spt="136" type="#_x0000_t136" style="position:absolute;left:0pt;margin-left:41.25pt;margin-top:47.6pt;height:132pt;width:528.05pt;mso-position-horizontal-relative:page;rotation:20643840f;z-index:-251571200;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spacing w:val="-13"/>
        </w:rPr>
        <w:t>二、重组当事各方企业适用特殊性税务处理的</w:t>
      </w:r>
      <w:r>
        <w:t>（</w:t>
      </w:r>
      <w:r>
        <w:rPr>
          <w:spacing w:val="-8"/>
        </w:rPr>
        <w:t>指重组业务符合财税〔</w:t>
      </w:r>
      <w:r>
        <w:rPr>
          <w:rFonts w:ascii="Calibri" w:eastAsia="Calibri"/>
        </w:rPr>
        <w:t>2009</w:t>
      </w:r>
      <w:r>
        <w:rPr>
          <w:spacing w:val="-15"/>
        </w:rPr>
        <w:t>〕</w:t>
      </w:r>
      <w:r>
        <w:rPr>
          <w:rFonts w:ascii="Calibri" w:eastAsia="Calibri"/>
        </w:rPr>
        <w:t xml:space="preserve">59 </w:t>
      </w:r>
      <w:r>
        <w:rPr>
          <w:spacing w:val="-6"/>
        </w:rPr>
        <w:t>号文件和财税〔</w:t>
      </w:r>
      <w:r>
        <w:rPr>
          <w:rFonts w:ascii="Calibri" w:eastAsia="Calibri"/>
        </w:rPr>
        <w:t>2014</w:t>
      </w:r>
      <w:r>
        <w:rPr>
          <w:spacing w:val="-36"/>
        </w:rPr>
        <w:t>〕</w:t>
      </w:r>
      <w:r>
        <w:rPr>
          <w:rFonts w:ascii="Calibri" w:eastAsia="Calibri"/>
        </w:rPr>
        <w:t xml:space="preserve">109 </w:t>
      </w:r>
      <w:r>
        <w:rPr>
          <w:spacing w:val="-6"/>
        </w:rPr>
        <w:t>号文件第一条、第二条规定条件并选择特殊性税务处理的，下同），应按如下规定确定重组主导方：</w:t>
      </w:r>
    </w:p>
    <w:p>
      <w:pPr>
        <w:pStyle w:val="3"/>
        <w:spacing w:before="2"/>
        <w:ind w:left="2280"/>
      </w:pPr>
      <w:r>
        <w:t>（一）债务重组，主导方为债务人。</w:t>
      </w:r>
    </w:p>
    <w:p>
      <w:pPr>
        <w:pStyle w:val="3"/>
        <w:spacing w:before="161" w:line="364" w:lineRule="auto"/>
        <w:ind w:right="1705" w:firstLine="480"/>
      </w:pPr>
      <w:r>
        <w:t>（二）股权收购，主导方为股权转让方，涉及两个或两个以上股权转让方， 由转让被收购企业股权比例最大的一方作为主导方（转让股权比例相同的可协商确定主导方）。</w:t>
      </w:r>
    </w:p>
    <w:p>
      <w:pPr>
        <w:pStyle w:val="3"/>
        <w:ind w:left="2280"/>
      </w:pPr>
      <w:r>
        <w:t>（三）资产收购，主导方为资产转让方。</w:t>
      </w:r>
    </w:p>
    <w:p>
      <w:pPr>
        <w:pStyle w:val="3"/>
        <w:spacing w:before="161" w:line="364" w:lineRule="auto"/>
        <w:ind w:right="1797" w:firstLine="460"/>
      </w:pPr>
      <w:r>
        <w:t>（四</w:t>
      </w:r>
      <w:r>
        <w:rPr>
          <w:spacing w:val="-20"/>
        </w:rPr>
        <w:t>）</w:t>
      </w:r>
      <w:r>
        <w:rPr>
          <w:spacing w:val="-9"/>
        </w:rPr>
        <w:t>合并，主导方为被合并企业，涉及同一控制下多家被合并企业的，以</w:t>
      </w:r>
      <w:r>
        <w:t>净资产最大的一方为主导方。</w:t>
      </w:r>
    </w:p>
    <w:p>
      <w:pPr>
        <w:pStyle w:val="3"/>
        <w:ind w:left="2280"/>
      </w:pPr>
      <w:r>
        <w:t>（五）分立，主导方为被分立企业。</w:t>
      </w:r>
    </w:p>
    <w:p>
      <w:pPr>
        <w:pStyle w:val="3"/>
        <w:spacing w:before="161" w:line="364" w:lineRule="auto"/>
        <w:ind w:right="1795" w:firstLine="484"/>
      </w:pPr>
      <w:r>
        <w:t>三、财税〔</w:t>
      </w:r>
      <w:r>
        <w:rPr>
          <w:rFonts w:ascii="Calibri" w:eastAsia="Calibri"/>
        </w:rPr>
        <w:t>2009</w:t>
      </w:r>
      <w:r>
        <w:t>〕</w:t>
      </w:r>
      <w:r>
        <w:rPr>
          <w:rFonts w:ascii="Calibri" w:eastAsia="Calibri"/>
        </w:rPr>
        <w:t xml:space="preserve">59 </w:t>
      </w:r>
      <w:r>
        <w:t>号文件第十一条所称重组业务完成当年，是指重组日所属的企业所得税纳税年度。</w:t>
      </w:r>
    </w:p>
    <w:p>
      <w:pPr>
        <w:pStyle w:val="3"/>
        <w:ind w:left="2280"/>
      </w:pPr>
      <w:r>
        <w:t>企业重组日的确定，按以下规定处理：</w:t>
      </w:r>
    </w:p>
    <w:p>
      <w:pPr>
        <w:pStyle w:val="8"/>
        <w:numPr>
          <w:ilvl w:val="0"/>
          <w:numId w:val="87"/>
        </w:numPr>
        <w:tabs>
          <w:tab w:val="left" w:pos="2464"/>
        </w:tabs>
        <w:spacing w:before="160" w:after="0" w:line="240" w:lineRule="auto"/>
        <w:ind w:left="2463" w:right="0" w:hanging="184"/>
        <w:jc w:val="left"/>
        <w:rPr>
          <w:rFonts w:hint="eastAsia" w:ascii="宋体" w:eastAsia="宋体"/>
          <w:sz w:val="24"/>
        </w:rPr>
      </w:pPr>
      <w:r>
        <w:rPr>
          <w:rFonts w:hint="eastAsia" w:ascii="宋体" w:eastAsia="宋体"/>
          <w:sz w:val="24"/>
        </w:rPr>
        <w:t>债务重组，以债务重组合同（协议）或法院裁定书生效日为重组日。</w:t>
      </w:r>
    </w:p>
    <w:p>
      <w:pPr>
        <w:pStyle w:val="8"/>
        <w:numPr>
          <w:ilvl w:val="0"/>
          <w:numId w:val="87"/>
        </w:numPr>
        <w:tabs>
          <w:tab w:val="left" w:pos="2464"/>
        </w:tabs>
        <w:spacing w:before="161" w:after="0" w:line="364" w:lineRule="auto"/>
        <w:ind w:left="1800" w:right="1792" w:firstLine="480"/>
        <w:jc w:val="both"/>
        <w:rPr>
          <w:rFonts w:hint="eastAsia" w:ascii="宋体" w:eastAsia="宋体"/>
          <w:sz w:val="24"/>
        </w:rPr>
      </w:pPr>
      <w:r>
        <w:rPr>
          <w:rFonts w:hint="eastAsia" w:ascii="宋体" w:eastAsia="宋体"/>
          <w:spacing w:val="-3"/>
          <w:sz w:val="24"/>
        </w:rPr>
        <w:t>股权收购，以转让合同</w:t>
      </w:r>
      <w:r>
        <w:rPr>
          <w:rFonts w:hint="eastAsia" w:ascii="宋体" w:eastAsia="宋体"/>
          <w:sz w:val="24"/>
        </w:rPr>
        <w:t>（协议</w:t>
      </w:r>
      <w:r>
        <w:rPr>
          <w:rFonts w:hint="eastAsia" w:ascii="宋体" w:eastAsia="宋体"/>
          <w:spacing w:val="-10"/>
          <w:sz w:val="24"/>
        </w:rPr>
        <w:t>）</w:t>
      </w:r>
      <w:r>
        <w:rPr>
          <w:rFonts w:hint="eastAsia" w:ascii="宋体" w:eastAsia="宋体"/>
          <w:spacing w:val="-2"/>
          <w:sz w:val="24"/>
        </w:rPr>
        <w:t>生效且完成股权变更手续日为重组日。关</w:t>
      </w:r>
      <w:r>
        <w:rPr>
          <w:rFonts w:hint="eastAsia" w:ascii="宋体" w:eastAsia="宋体"/>
          <w:sz w:val="24"/>
        </w:rPr>
        <w:t>联企业之间发生股权收购，转让合同（协议）</w:t>
      </w:r>
      <w:r>
        <w:rPr>
          <w:rFonts w:hint="eastAsia" w:ascii="宋体" w:eastAsia="宋体"/>
          <w:spacing w:val="-13"/>
          <w:sz w:val="24"/>
        </w:rPr>
        <w:t xml:space="preserve">生效后 </w:t>
      </w:r>
      <w:r>
        <w:rPr>
          <w:rFonts w:ascii="Calibri" w:eastAsia="Calibri"/>
          <w:sz w:val="24"/>
        </w:rPr>
        <w:t>12</w:t>
      </w:r>
      <w:r>
        <w:rPr>
          <w:rFonts w:ascii="Calibri" w:eastAsia="Calibri"/>
          <w:spacing w:val="13"/>
          <w:sz w:val="24"/>
        </w:rPr>
        <w:t xml:space="preserve"> </w:t>
      </w:r>
      <w:r>
        <w:rPr>
          <w:rFonts w:hint="eastAsia" w:ascii="宋体" w:eastAsia="宋体"/>
          <w:sz w:val="24"/>
        </w:rPr>
        <w:t>个月内尚未完成股权变更手续的，应以转让合同（协议）生效日为重组日。</w:t>
      </w:r>
    </w:p>
    <w:p>
      <w:pPr>
        <w:pStyle w:val="8"/>
        <w:numPr>
          <w:ilvl w:val="0"/>
          <w:numId w:val="87"/>
        </w:numPr>
        <w:tabs>
          <w:tab w:val="left" w:pos="2464"/>
        </w:tabs>
        <w:spacing w:before="2" w:after="0" w:line="240" w:lineRule="auto"/>
        <w:ind w:left="2463" w:right="0" w:hanging="184"/>
        <w:jc w:val="left"/>
        <w:rPr>
          <w:rFonts w:hint="eastAsia" w:ascii="宋体" w:eastAsia="宋体"/>
          <w:sz w:val="24"/>
        </w:rPr>
      </w:pPr>
      <w:r>
        <w:rPr>
          <w:rFonts w:hint="eastAsia" w:ascii="宋体" w:eastAsia="宋体"/>
          <w:spacing w:val="-4"/>
          <w:sz w:val="24"/>
        </w:rPr>
        <w:t>资产收购，以转让合同</w:t>
      </w:r>
      <w:r>
        <w:rPr>
          <w:rFonts w:hint="eastAsia" w:ascii="宋体" w:eastAsia="宋体"/>
          <w:sz w:val="24"/>
        </w:rPr>
        <w:t>（协议</w:t>
      </w:r>
      <w:r>
        <w:rPr>
          <w:rFonts w:hint="eastAsia" w:ascii="宋体" w:eastAsia="宋体"/>
          <w:spacing w:val="-10"/>
          <w:sz w:val="24"/>
        </w:rPr>
        <w:t>）</w:t>
      </w:r>
      <w:r>
        <w:rPr>
          <w:rFonts w:hint="eastAsia" w:ascii="宋体" w:eastAsia="宋体"/>
          <w:sz w:val="24"/>
        </w:rPr>
        <w:t>生效且当事各方已进行会计处理的日期为</w:t>
      </w:r>
    </w:p>
    <w:p>
      <w:pPr>
        <w:spacing w:after="0" w:line="240" w:lineRule="auto"/>
        <w:jc w:val="left"/>
        <w:rPr>
          <w:rFonts w:hint="eastAsia" w:ascii="宋体" w:eastAsia="宋体"/>
          <w:sz w:val="24"/>
        </w:rPr>
        <w:sectPr>
          <w:pgSz w:w="11910" w:h="16840"/>
          <w:pgMar w:top="1540" w:right="0" w:bottom="1380" w:left="0" w:header="965" w:footer="1182" w:gutter="0"/>
          <w:cols w:space="720" w:num="1"/>
        </w:sectPr>
      </w:pPr>
    </w:p>
    <w:p>
      <w:pPr>
        <w:pStyle w:val="3"/>
        <w:spacing w:before="2"/>
        <w:ind w:left="0"/>
        <w:rPr>
          <w:sz w:val="12"/>
        </w:rPr>
      </w:pPr>
    </w:p>
    <w:p>
      <w:pPr>
        <w:pStyle w:val="3"/>
        <w:spacing w:before="67"/>
      </w:pPr>
      <w:r>
        <w:t>重组日。</w:t>
      </w:r>
    </w:p>
    <w:p>
      <w:pPr>
        <w:pStyle w:val="8"/>
        <w:numPr>
          <w:ilvl w:val="0"/>
          <w:numId w:val="87"/>
        </w:numPr>
        <w:tabs>
          <w:tab w:val="left" w:pos="2464"/>
        </w:tabs>
        <w:spacing w:before="160" w:after="0" w:line="364" w:lineRule="auto"/>
        <w:ind w:left="1800" w:right="1705" w:firstLine="480"/>
        <w:jc w:val="left"/>
        <w:rPr>
          <w:rFonts w:hint="eastAsia" w:ascii="宋体" w:eastAsia="宋体"/>
          <w:sz w:val="24"/>
        </w:rPr>
      </w:pPr>
      <w:r>
        <w:rPr>
          <w:rFonts w:hint="eastAsia" w:ascii="宋体" w:eastAsia="宋体"/>
          <w:spacing w:val="-4"/>
          <w:sz w:val="24"/>
        </w:rPr>
        <w:t>合并，以合并合同</w:t>
      </w:r>
      <w:r>
        <w:rPr>
          <w:rFonts w:hint="eastAsia" w:ascii="宋体" w:eastAsia="宋体"/>
          <w:sz w:val="24"/>
        </w:rPr>
        <w:t>（协议</w:t>
      </w:r>
      <w:r>
        <w:rPr>
          <w:rFonts w:hint="eastAsia" w:ascii="宋体" w:eastAsia="宋体"/>
          <w:spacing w:val="-10"/>
          <w:sz w:val="24"/>
        </w:rPr>
        <w:t>）</w:t>
      </w:r>
      <w:r>
        <w:rPr>
          <w:rFonts w:hint="eastAsia" w:ascii="宋体" w:eastAsia="宋体"/>
          <w:spacing w:val="-3"/>
          <w:sz w:val="24"/>
        </w:rPr>
        <w:t>生效、当事各方已进行会计处理且完成工商新</w:t>
      </w:r>
      <w:r>
        <w:rPr>
          <w:rFonts w:hint="eastAsia" w:ascii="宋体" w:eastAsia="宋体"/>
          <w:spacing w:val="-4"/>
          <w:sz w:val="24"/>
        </w:rPr>
        <w:t xml:space="preserve">设登记或变更登记日为重组日。按规定不需要办理工商新设或变更登记的合并， </w:t>
      </w:r>
      <w:r>
        <w:rPr>
          <w:rFonts w:hint="eastAsia" w:ascii="宋体" w:eastAsia="宋体"/>
          <w:sz w:val="24"/>
        </w:rPr>
        <w:t>以合并合同（协议）生效且当事各方已进行会计处理的日期为重组日。</w:t>
      </w:r>
    </w:p>
    <w:p>
      <w:pPr>
        <w:pStyle w:val="8"/>
        <w:numPr>
          <w:ilvl w:val="0"/>
          <w:numId w:val="87"/>
        </w:numPr>
        <w:tabs>
          <w:tab w:val="left" w:pos="2464"/>
        </w:tabs>
        <w:spacing w:before="2" w:after="0" w:line="364" w:lineRule="auto"/>
        <w:ind w:left="1800" w:right="1792" w:firstLine="480"/>
        <w:jc w:val="left"/>
        <w:rPr>
          <w:rFonts w:hint="eastAsia" w:ascii="宋体" w:eastAsia="宋体"/>
          <w:sz w:val="24"/>
        </w:rPr>
      </w:pPr>
      <w:r>
        <w:rPr>
          <w:rFonts w:hint="eastAsia" w:ascii="宋体" w:eastAsia="宋体"/>
          <w:spacing w:val="-4"/>
          <w:sz w:val="24"/>
        </w:rPr>
        <w:t>分立，以分立合同</w:t>
      </w:r>
      <w:r>
        <w:rPr>
          <w:rFonts w:hint="eastAsia" w:ascii="宋体" w:eastAsia="宋体"/>
          <w:sz w:val="24"/>
        </w:rPr>
        <w:t>（协议</w:t>
      </w:r>
      <w:r>
        <w:rPr>
          <w:rFonts w:hint="eastAsia" w:ascii="宋体" w:eastAsia="宋体"/>
          <w:spacing w:val="-10"/>
          <w:sz w:val="24"/>
        </w:rPr>
        <w:t>）</w:t>
      </w:r>
      <w:r>
        <w:rPr>
          <w:rFonts w:hint="eastAsia" w:ascii="宋体" w:eastAsia="宋体"/>
          <w:spacing w:val="-4"/>
          <w:sz w:val="24"/>
        </w:rPr>
        <w:t>生效、当事各方已进行会计处理且完成工商新</w:t>
      </w:r>
      <w:r>
        <w:rPr>
          <w:rFonts w:hint="eastAsia" w:ascii="宋体" w:eastAsia="宋体"/>
          <w:sz w:val="24"/>
        </w:rPr>
        <w:t>设登记或变更登记日为重组日。</w:t>
      </w:r>
    </w:p>
    <w:p>
      <w:pPr>
        <w:pStyle w:val="3"/>
        <w:spacing w:line="364" w:lineRule="auto"/>
        <w:ind w:right="1795" w:firstLine="484"/>
        <w:jc w:val="both"/>
      </w:pPr>
      <w:r>
        <w:pict>
          <v:shape id="_x0000_s1110" o:spid="_x0000_s1110" o:spt="136" type="#_x0000_t136" style="position:absolute;left:0pt;margin-left:41.25pt;margin-top:133.25pt;height:132pt;width:528.05pt;mso-position-horizontal-relative:page;rotation:20643840f;z-index:-251570176;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t>四、企业重组业务适用特殊性税务处理的，除财税〔</w:t>
      </w:r>
      <w:r>
        <w:rPr>
          <w:rFonts w:ascii="Calibri" w:eastAsia="Calibri"/>
        </w:rPr>
        <w:t>2009</w:t>
      </w:r>
      <w:r>
        <w:t>〕</w:t>
      </w:r>
      <w:r>
        <w:rPr>
          <w:rFonts w:ascii="Calibri" w:eastAsia="Calibri"/>
        </w:rPr>
        <w:t xml:space="preserve">59 </w:t>
      </w:r>
      <w:r>
        <w:t>号文件第四</w:t>
      </w:r>
      <w:r>
        <w:rPr>
          <w:spacing w:val="-16"/>
        </w:rPr>
        <w:t>条第</w:t>
      </w:r>
      <w:r>
        <w:t>（一</w:t>
      </w:r>
      <w:r>
        <w:rPr>
          <w:spacing w:val="-32"/>
        </w:rPr>
        <w:t>）</w:t>
      </w:r>
      <w:r>
        <w:rPr>
          <w:spacing w:val="-3"/>
        </w:rPr>
        <w:t>项所称企业发生其他法律形式简单改变情形外，重组各方应在该重组</w:t>
      </w:r>
      <w:r>
        <w:rPr>
          <w:spacing w:val="-9"/>
        </w:rPr>
        <w:t>业务完成当年，办理企业所得税年度申报时，分别向各自主管税务机关报送《企</w:t>
      </w:r>
      <w:r>
        <w:rPr>
          <w:spacing w:val="-1"/>
        </w:rPr>
        <w:t>业重组所得税特殊性税务处理报告表及附表》</w:t>
      </w:r>
      <w:r>
        <w:rPr>
          <w:spacing w:val="-3"/>
        </w:rPr>
        <w:t>（</w:t>
      </w:r>
      <w:r>
        <w:rPr>
          <w:spacing w:val="-12"/>
        </w:rPr>
        <w:t xml:space="preserve">详见附件 </w:t>
      </w:r>
      <w:r>
        <w:rPr>
          <w:rFonts w:ascii="Calibri" w:eastAsia="Calibri"/>
          <w:spacing w:val="-4"/>
        </w:rPr>
        <w:t>1</w:t>
      </w:r>
      <w:r>
        <w:rPr>
          <w:spacing w:val="-4"/>
        </w:rPr>
        <w:t>）</w:t>
      </w:r>
      <w:r>
        <w:rPr>
          <w:spacing w:val="-2"/>
        </w:rPr>
        <w:t>和申报资料</w:t>
      </w:r>
      <w:r>
        <w:t>（</w:t>
      </w:r>
      <w:r>
        <w:rPr>
          <w:spacing w:val="-7"/>
        </w:rPr>
        <w:t>详见</w:t>
      </w:r>
      <w:r>
        <w:rPr>
          <w:spacing w:val="-20"/>
        </w:rPr>
        <w:t xml:space="preserve">附件 </w:t>
      </w:r>
      <w:r>
        <w:rPr>
          <w:rFonts w:ascii="Calibri" w:eastAsia="Calibri"/>
          <w:spacing w:val="-5"/>
        </w:rPr>
        <w:t>2</w:t>
      </w:r>
      <w:r>
        <w:rPr>
          <w:spacing w:val="-5"/>
        </w:rPr>
        <w:t>）</w:t>
      </w:r>
      <w:r>
        <w:rPr>
          <w:spacing w:val="-6"/>
        </w:rPr>
        <w:t>。合并、分立中重组一方涉及注销的，应在尚未办理注销税务登记手续</w:t>
      </w:r>
      <w:r>
        <w:t>前进行申报。</w:t>
      </w:r>
    </w:p>
    <w:p>
      <w:pPr>
        <w:pStyle w:val="3"/>
        <w:spacing w:before="4" w:line="364" w:lineRule="auto"/>
        <w:ind w:right="1797" w:firstLine="480"/>
        <w:jc w:val="both"/>
      </w:pPr>
      <w:r>
        <w:rPr>
          <w:spacing w:val="-9"/>
        </w:rPr>
        <w:t>重组主导方申报后，其他当事方向其主管税务机关办理纳税申报。申报时还</w:t>
      </w:r>
      <w:r>
        <w:rPr>
          <w:spacing w:val="-7"/>
        </w:rPr>
        <w:t>应附送重组主导方经主管税务机关受理的《企业重组所得税特殊性税务处理报告</w:t>
      </w:r>
      <w:r>
        <w:t>表及附表》（复印件）。</w:t>
      </w:r>
    </w:p>
    <w:p>
      <w:pPr>
        <w:pStyle w:val="3"/>
        <w:spacing w:before="2" w:line="364" w:lineRule="auto"/>
        <w:ind w:right="1797" w:firstLine="480"/>
      </w:pPr>
      <w:r>
        <w:rPr>
          <w:spacing w:val="-11"/>
        </w:rPr>
        <w:t>五、企业重组业务适用特殊性税务处理的，申报时，应从以下方面逐条说明</w:t>
      </w:r>
      <w:r>
        <w:t>企业重组具有合理的商业目的：</w:t>
      </w:r>
    </w:p>
    <w:p>
      <w:pPr>
        <w:pStyle w:val="3"/>
        <w:ind w:left="2280"/>
      </w:pPr>
      <w:r>
        <w:t>（一）重组交易的方式；</w:t>
      </w:r>
    </w:p>
    <w:p>
      <w:pPr>
        <w:pStyle w:val="3"/>
        <w:spacing w:before="160"/>
        <w:ind w:left="2280"/>
      </w:pPr>
      <w:r>
        <w:t>（二）重组交易的实质结果；</w:t>
      </w:r>
    </w:p>
    <w:p>
      <w:pPr>
        <w:pStyle w:val="3"/>
        <w:spacing w:before="161"/>
        <w:ind w:left="2280"/>
      </w:pPr>
      <w:r>
        <w:t>（三）重组各方涉及的税务状况变化；</w:t>
      </w:r>
    </w:p>
    <w:p>
      <w:pPr>
        <w:pStyle w:val="3"/>
        <w:spacing w:before="160"/>
        <w:ind w:left="2280"/>
      </w:pPr>
      <w:r>
        <w:t>（四）重组各方涉及的财务状况变化；</w:t>
      </w:r>
    </w:p>
    <w:p>
      <w:pPr>
        <w:pStyle w:val="3"/>
        <w:spacing w:before="161"/>
        <w:ind w:left="2280"/>
      </w:pPr>
      <w:r>
        <w:t>（五）非居民企业参与重组活动的情况。</w:t>
      </w:r>
    </w:p>
    <w:p>
      <w:pPr>
        <w:pStyle w:val="3"/>
        <w:spacing w:before="160" w:line="364" w:lineRule="auto"/>
        <w:ind w:right="1795" w:firstLine="480"/>
        <w:jc w:val="both"/>
      </w:pPr>
      <w:r>
        <w:rPr>
          <w:spacing w:val="-11"/>
        </w:rPr>
        <w:t>六、企业重组业务适用特殊性税务处理的，申报时，当事各方还应向主管税</w:t>
      </w:r>
      <w:r>
        <w:rPr>
          <w:spacing w:val="-5"/>
        </w:rPr>
        <w:t xml:space="preserve">务机关提交重组前连续 </w:t>
      </w:r>
      <w:r>
        <w:rPr>
          <w:rFonts w:ascii="Calibri" w:eastAsia="Calibri"/>
        </w:rPr>
        <w:t xml:space="preserve">12 </w:t>
      </w:r>
      <w:r>
        <w:rPr>
          <w:spacing w:val="-1"/>
        </w:rPr>
        <w:t>个月内有无与该重组相关的其他股权、资产交易情况</w:t>
      </w:r>
      <w:r>
        <w:rPr>
          <w:spacing w:val="-10"/>
        </w:rPr>
        <w:t>的说明，并说明这些交易与该重组是否构成分步交易，是否作为一项企业重组业</w:t>
      </w:r>
      <w:r>
        <w:t>务进行处理。</w:t>
      </w:r>
    </w:p>
    <w:p>
      <w:pPr>
        <w:pStyle w:val="3"/>
        <w:spacing w:before="3" w:line="364" w:lineRule="auto"/>
        <w:ind w:right="1705" w:firstLine="484"/>
        <w:jc w:val="both"/>
      </w:pPr>
      <w:r>
        <w:t>七、根据财税〔</w:t>
      </w:r>
      <w:r>
        <w:rPr>
          <w:rFonts w:ascii="Calibri" w:eastAsia="Calibri"/>
        </w:rPr>
        <w:t>2009</w:t>
      </w:r>
      <w:r>
        <w:t>〕</w:t>
      </w:r>
      <w:r>
        <w:rPr>
          <w:rFonts w:ascii="Calibri" w:eastAsia="Calibri"/>
        </w:rPr>
        <w:t xml:space="preserve">59 </w:t>
      </w:r>
      <w:r>
        <w:t xml:space="preserve">号文件第十条规定，若同一项重组业务涉及在连续 </w:t>
      </w:r>
      <w:r>
        <w:rPr>
          <w:rFonts w:ascii="Calibri" w:eastAsia="Calibri"/>
        </w:rPr>
        <w:t xml:space="preserve">12 </w:t>
      </w:r>
      <w:r>
        <w:t>个月内分步交易，且跨两个纳税年度，当事各方在首个纳税年度交易完成时预计整个交易符合特殊性税务处理条件，经协商一致选择特殊性税务处理的，</w:t>
      </w:r>
    </w:p>
    <w:p>
      <w:pPr>
        <w:spacing w:after="0" w:line="364" w:lineRule="auto"/>
        <w:jc w:val="both"/>
        <w:sectPr>
          <w:pgSz w:w="11910" w:h="16840"/>
          <w:pgMar w:top="1540" w:right="0" w:bottom="1380" w:left="0" w:header="965" w:footer="1182" w:gutter="0"/>
          <w:cols w:space="720" w:num="1"/>
        </w:sectPr>
      </w:pPr>
    </w:p>
    <w:p>
      <w:pPr>
        <w:pStyle w:val="3"/>
        <w:spacing w:before="2"/>
        <w:ind w:left="0"/>
        <w:rPr>
          <w:sz w:val="12"/>
        </w:rPr>
      </w:pPr>
    </w:p>
    <w:p>
      <w:pPr>
        <w:pStyle w:val="3"/>
        <w:spacing w:before="67" w:line="364" w:lineRule="auto"/>
        <w:ind w:right="1797"/>
      </w:pPr>
      <w:r>
        <w:rPr>
          <w:spacing w:val="-8"/>
        </w:rPr>
        <w:t>可以暂时适用特殊性税务处理，并在当年企业所得税年度申报时提交书面申报资</w:t>
      </w:r>
      <w:r>
        <w:t>料。</w:t>
      </w:r>
    </w:p>
    <w:p>
      <w:pPr>
        <w:pStyle w:val="3"/>
        <w:spacing w:line="364" w:lineRule="auto"/>
        <w:ind w:right="1797" w:firstLine="480"/>
        <w:jc w:val="both"/>
      </w:pPr>
      <w:r>
        <w:rPr>
          <w:spacing w:val="-7"/>
        </w:rPr>
        <w:t>在下一纳税年度全部交易完成后，企业应判断是否适用特殊性税务处理。如</w:t>
      </w:r>
      <w:r>
        <w:rPr>
          <w:spacing w:val="-8"/>
        </w:rPr>
        <w:t>适用特殊性税务处理的，当事各方应按本公告要求申报相关资料；如适用一般性</w:t>
      </w:r>
      <w:r>
        <w:rPr>
          <w:spacing w:val="-10"/>
        </w:rPr>
        <w:t>税务处理的，应调整相应纳税年度的企业所得税年度申报表，计算缴纳企业所得</w:t>
      </w:r>
      <w:r>
        <w:t>税。</w:t>
      </w:r>
    </w:p>
    <w:p>
      <w:pPr>
        <w:pStyle w:val="3"/>
        <w:spacing w:before="2" w:line="364" w:lineRule="auto"/>
        <w:ind w:right="1795" w:firstLine="484"/>
        <w:jc w:val="both"/>
      </w:pPr>
      <w:r>
        <w:t>八、企业发生财税〔</w:t>
      </w:r>
      <w:r>
        <w:rPr>
          <w:rFonts w:ascii="Calibri" w:eastAsia="Calibri"/>
        </w:rPr>
        <w:t>2009</w:t>
      </w:r>
      <w:r>
        <w:t>〕</w:t>
      </w:r>
      <w:r>
        <w:rPr>
          <w:rFonts w:ascii="Calibri" w:eastAsia="Calibri"/>
        </w:rPr>
        <w:t xml:space="preserve">59 </w:t>
      </w:r>
      <w:r>
        <w:t xml:space="preserve">号文件第六条第（一）项规定的债务重组， </w:t>
      </w:r>
      <w:r>
        <w:rPr>
          <w:spacing w:val="-7"/>
        </w:rPr>
        <w:t>应准确记录应予确认的债务重组所得，并在相应年度的企业所得税汇算清缴时对</w:t>
      </w:r>
      <w:r>
        <w:t>当年确认额及分年结转额的情况做出说明。</w:t>
      </w:r>
    </w:p>
    <w:p>
      <w:pPr>
        <w:pStyle w:val="3"/>
        <w:spacing w:before="2" w:line="364" w:lineRule="auto"/>
        <w:ind w:right="1797" w:firstLine="480"/>
      </w:pPr>
      <w:r>
        <w:rPr>
          <w:spacing w:val="-9"/>
        </w:rPr>
        <w:t>主管税务机关应建立台账，对企业每年申报的债务重组所得与台账进行比对</w:t>
      </w:r>
      <w:r>
        <w:t>分析，加强后续管理。</w:t>
      </w:r>
    </w:p>
    <w:p>
      <w:pPr>
        <w:pStyle w:val="3"/>
        <w:spacing w:line="364" w:lineRule="auto"/>
        <w:ind w:right="1795" w:firstLine="484"/>
        <w:jc w:val="both"/>
      </w:pPr>
      <w:r>
        <w:pict>
          <v:shape id="_x0000_s1111" o:spid="_x0000_s1111" o:spt="136" type="#_x0000_t136" style="position:absolute;left:0pt;margin-left:41.25pt;margin-top:16.25pt;height:132pt;width:528.05pt;mso-position-horizontal-relative:page;rotation:20643840f;z-index:-251569152;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t>九、企业发生财税〔</w:t>
      </w:r>
      <w:r>
        <w:rPr>
          <w:rFonts w:ascii="Calibri" w:eastAsia="Calibri"/>
        </w:rPr>
        <w:t>2009</w:t>
      </w:r>
      <w:r>
        <w:t>〕</w:t>
      </w:r>
      <w:r>
        <w:rPr>
          <w:rFonts w:ascii="Calibri" w:eastAsia="Calibri"/>
        </w:rPr>
        <w:t xml:space="preserve">59 </w:t>
      </w:r>
      <w:r>
        <w:t>号文件第七条第（三）项规定的重组，居民</w:t>
      </w:r>
      <w:r>
        <w:rPr>
          <w:spacing w:val="-5"/>
        </w:rPr>
        <w:t>企业应准确记录应予确认的资产或股权转让收益总额，并在相应年度的企业所得</w:t>
      </w:r>
      <w:r>
        <w:t>税汇算清缴时对当年确认额及分年结转额的情况做出说明。</w:t>
      </w:r>
    </w:p>
    <w:p>
      <w:pPr>
        <w:pStyle w:val="3"/>
        <w:spacing w:before="2" w:line="364" w:lineRule="auto"/>
        <w:ind w:right="1797" w:firstLine="480"/>
      </w:pPr>
      <w:r>
        <w:rPr>
          <w:spacing w:val="-9"/>
        </w:rPr>
        <w:t>主管税务机关应建立台账，对居民企业取得股权的计税基础和每年确认的资</w:t>
      </w:r>
      <w:r>
        <w:t>产或股权转让收益进行比对分析，加强后续管理。</w:t>
      </w:r>
    </w:p>
    <w:p>
      <w:pPr>
        <w:pStyle w:val="3"/>
        <w:spacing w:line="364" w:lineRule="auto"/>
        <w:ind w:right="1705" w:firstLine="480"/>
      </w:pPr>
      <w:r>
        <w:t>十、适用特殊性税务处理的企业，在以后年度转让或处置重组资产（股权） 时，应在年度纳税申报时对资产（股权）转让所得或损失情况进行专项说明，包括特殊性税务处理时确定的重组资产（股权）计税基础与转让或处置时的计税基础的比对情况，以及递延所得税负债的处理情况等。</w:t>
      </w:r>
    </w:p>
    <w:p>
      <w:pPr>
        <w:pStyle w:val="3"/>
        <w:spacing w:before="3" w:line="364" w:lineRule="auto"/>
        <w:ind w:right="1705" w:firstLine="480"/>
      </w:pPr>
      <w:r>
        <w:t>适用特殊性税务处理的企业，在以后年度转让或处置重组资产（股权）时， 主管税务机关应加强评估和检查，将企业特殊性税务处理时确定的重组资产（股权）计税基础与转让或处置时的计税基础及相关的年度纳税申报表比对，发现问题的，应依法进行调整。</w:t>
      </w:r>
    </w:p>
    <w:p>
      <w:pPr>
        <w:pStyle w:val="3"/>
        <w:spacing w:before="2" w:line="364" w:lineRule="auto"/>
        <w:ind w:right="1795" w:firstLine="480"/>
        <w:jc w:val="both"/>
      </w:pPr>
      <w:r>
        <w:rPr>
          <w:spacing w:val="-12"/>
        </w:rPr>
        <w:t>十一、税务机关应对适用特殊性税务处理的企业重组做好统计和相关资料的归档工作。各省、自治区、直辖市和计划单列市国家税务局、地方税务局应于每</w:t>
      </w:r>
      <w:r>
        <w:rPr>
          <w:spacing w:val="-30"/>
        </w:rPr>
        <w:t xml:space="preserve">年 </w:t>
      </w:r>
      <w:r>
        <w:rPr>
          <w:rFonts w:ascii="Calibri" w:eastAsia="Calibri"/>
        </w:rPr>
        <w:t>8</w:t>
      </w:r>
      <w:r>
        <w:rPr>
          <w:rFonts w:ascii="Calibri" w:eastAsia="Calibri"/>
          <w:spacing w:val="5"/>
        </w:rPr>
        <w:t xml:space="preserve"> </w:t>
      </w:r>
      <w:r>
        <w:rPr>
          <w:spacing w:val="-3"/>
        </w:rPr>
        <w:t>月底前将《企业重组所得税特殊性税务处理统计表》</w:t>
      </w:r>
      <w:r>
        <w:t>（</w:t>
      </w:r>
      <w:r>
        <w:rPr>
          <w:spacing w:val="-12"/>
        </w:rPr>
        <w:t xml:space="preserve">详见附件 </w:t>
      </w:r>
      <w:r>
        <w:rPr>
          <w:rFonts w:ascii="Calibri" w:eastAsia="Calibri"/>
          <w:spacing w:val="-5"/>
        </w:rPr>
        <w:t>3</w:t>
      </w:r>
      <w:r>
        <w:rPr>
          <w:spacing w:val="-5"/>
        </w:rPr>
        <w:t>）上报税</w:t>
      </w:r>
      <w:r>
        <w:t>务总局（所得税司）。</w:t>
      </w:r>
    </w:p>
    <w:p>
      <w:pPr>
        <w:pStyle w:val="3"/>
        <w:spacing w:before="3"/>
        <w:ind w:left="2280"/>
        <w:jc w:val="both"/>
      </w:pPr>
      <w:r>
        <w:t xml:space="preserve">十二、本公告适用于 </w:t>
      </w:r>
      <w:r>
        <w:rPr>
          <w:rFonts w:ascii="Calibri" w:eastAsia="Calibri"/>
        </w:rPr>
        <w:t xml:space="preserve">2015 </w:t>
      </w:r>
      <w:r>
        <w:t>年度及以后年度企业所得税汇算清缴。《国家税</w:t>
      </w:r>
    </w:p>
    <w:p>
      <w:pPr>
        <w:spacing w:after="0"/>
        <w:jc w:val="both"/>
        <w:sectPr>
          <w:footerReference r:id="rId14" w:type="default"/>
          <w:pgSz w:w="11910" w:h="16840"/>
          <w:pgMar w:top="1540" w:right="0" w:bottom="1380" w:left="0" w:header="965" w:footer="1182" w:gutter="0"/>
          <w:pgNumType w:start="80"/>
          <w:cols w:space="720" w:num="1"/>
        </w:sectPr>
      </w:pPr>
    </w:p>
    <w:p>
      <w:pPr>
        <w:pStyle w:val="3"/>
        <w:spacing w:before="2"/>
        <w:ind w:left="0"/>
        <w:rPr>
          <w:sz w:val="12"/>
        </w:rPr>
      </w:pPr>
    </w:p>
    <w:p>
      <w:pPr>
        <w:pStyle w:val="3"/>
        <w:spacing w:before="67" w:line="364" w:lineRule="auto"/>
        <w:ind w:right="1795"/>
        <w:jc w:val="both"/>
      </w:pPr>
      <w:r>
        <w:rPr>
          <w:spacing w:val="-7"/>
        </w:rPr>
        <w:t>务总局关于发布〈企业重组业务企业所得税管理办法〉的公告》</w:t>
      </w:r>
      <w:r>
        <w:rPr>
          <w:spacing w:val="-3"/>
        </w:rPr>
        <w:t>（国家税务总局</w:t>
      </w:r>
      <w:r>
        <w:rPr>
          <w:spacing w:val="-20"/>
        </w:rPr>
        <w:t xml:space="preserve">公告 </w:t>
      </w:r>
      <w:r>
        <w:rPr>
          <w:rFonts w:ascii="Calibri" w:eastAsia="Calibri"/>
        </w:rPr>
        <w:t>2010</w:t>
      </w:r>
      <w:r>
        <w:rPr>
          <w:rFonts w:ascii="Calibri" w:eastAsia="Calibri"/>
          <w:spacing w:val="7"/>
        </w:rPr>
        <w:t xml:space="preserve"> </w:t>
      </w:r>
      <w:r>
        <w:rPr>
          <w:spacing w:val="-19"/>
        </w:rPr>
        <w:t xml:space="preserve">年第 </w:t>
      </w:r>
      <w:r>
        <w:rPr>
          <w:rFonts w:ascii="Calibri" w:eastAsia="Calibri"/>
        </w:rPr>
        <w:t>4</w:t>
      </w:r>
      <w:r>
        <w:rPr>
          <w:rFonts w:ascii="Calibri" w:eastAsia="Calibri"/>
          <w:spacing w:val="9"/>
        </w:rPr>
        <w:t xml:space="preserve"> </w:t>
      </w:r>
      <w:r>
        <w:t>号）</w:t>
      </w:r>
      <w:r>
        <w:rPr>
          <w:spacing w:val="-1"/>
        </w:rPr>
        <w:t>第三条、第七条、第八条、第十六条、第十七条、第十八</w:t>
      </w:r>
      <w:r>
        <w:rPr>
          <w:spacing w:val="-11"/>
        </w:rPr>
        <w:t>条、第二十二条、第二十三条、第二十四条、第二十五条、第二十七条、第三十</w:t>
      </w:r>
      <w:r>
        <w:t>二条同时废止。</w:t>
      </w:r>
    </w:p>
    <w:p>
      <w:pPr>
        <w:pStyle w:val="3"/>
        <w:spacing w:before="2" w:line="364" w:lineRule="auto"/>
        <w:ind w:left="2280" w:right="1705"/>
      </w:pPr>
      <w:r>
        <w:rPr>
          <w:spacing w:val="-1"/>
        </w:rPr>
        <w:t>本公告施行时企业已经签订重组协议，但尚未完成重组的，按本公告执行。</w:t>
      </w:r>
      <w:r>
        <w:t>特此公告。</w:t>
      </w:r>
    </w:p>
    <w:p>
      <w:pPr>
        <w:spacing w:before="11"/>
        <w:ind w:left="2280" w:right="0" w:firstLine="0"/>
        <w:jc w:val="left"/>
        <w:outlineLvl w:val="1"/>
        <w:rPr>
          <w:rFonts w:hint="eastAsia" w:ascii="微软雅黑" w:eastAsia="微软雅黑"/>
          <w:b/>
          <w:sz w:val="24"/>
        </w:rPr>
      </w:pPr>
      <w:r>
        <w:rPr>
          <w:rFonts w:hint="eastAsia" w:ascii="微软雅黑" w:eastAsia="微软雅黑"/>
          <w:b/>
          <w:color w:val="333333"/>
          <w:sz w:val="24"/>
        </w:rPr>
        <w:t>【政策依据】资产（股权）划转</w:t>
      </w:r>
    </w:p>
    <w:p>
      <w:pPr>
        <w:pStyle w:val="8"/>
        <w:numPr>
          <w:ilvl w:val="0"/>
          <w:numId w:val="88"/>
        </w:numPr>
        <w:tabs>
          <w:tab w:val="left" w:pos="2484"/>
        </w:tabs>
        <w:spacing w:before="182" w:after="0" w:line="338" w:lineRule="auto"/>
        <w:ind w:left="1800" w:right="1797" w:firstLine="480"/>
        <w:jc w:val="left"/>
        <w:outlineLvl w:val="2"/>
        <w:rPr>
          <w:sz w:val="24"/>
        </w:rPr>
      </w:pPr>
      <w:r>
        <w:rPr>
          <w:color w:val="333333"/>
          <w:spacing w:val="3"/>
          <w:sz w:val="24"/>
        </w:rPr>
        <w:t>《财政部国家税务总局关于促进企业重组有关企业所得税处理问题的通知》（财税〔2014〕109</w:t>
      </w:r>
      <w:r>
        <w:rPr>
          <w:color w:val="333333"/>
          <w:spacing w:val="-7"/>
          <w:sz w:val="24"/>
        </w:rPr>
        <w:t xml:space="preserve"> 号</w:t>
      </w:r>
      <w:r>
        <w:rPr>
          <w:color w:val="333333"/>
          <w:sz w:val="24"/>
        </w:rPr>
        <w:t>）</w:t>
      </w:r>
    </w:p>
    <w:p>
      <w:pPr>
        <w:pStyle w:val="8"/>
        <w:numPr>
          <w:ilvl w:val="0"/>
          <w:numId w:val="88"/>
        </w:numPr>
        <w:tabs>
          <w:tab w:val="left" w:pos="2481"/>
        </w:tabs>
        <w:spacing w:before="0" w:after="0" w:line="338" w:lineRule="auto"/>
        <w:ind w:left="1800" w:right="1795" w:firstLine="480"/>
        <w:jc w:val="left"/>
        <w:outlineLvl w:val="2"/>
        <w:rPr>
          <w:sz w:val="24"/>
        </w:rPr>
      </w:pPr>
      <w:r>
        <w:pict>
          <v:shape id="_x0000_s1112" o:spid="_x0000_s1112" o:spt="136" type="#_x0000_t136" style="position:absolute;left:0pt;margin-left:41.25pt;margin-top:39.1pt;height:132pt;width:528.05pt;mso-position-horizontal-relative:page;rotation:20643840f;z-index:-251568128;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bookmarkStart w:id="40" w:name="_bookmark22"/>
      <w:bookmarkEnd w:id="40"/>
      <w:bookmarkStart w:id="41" w:name="_bookmark22"/>
      <w:bookmarkEnd w:id="41"/>
      <w:r>
        <w:rPr>
          <w:color w:val="333333"/>
          <w:spacing w:val="-1"/>
          <w:sz w:val="24"/>
        </w:rPr>
        <w:t>《国家税务总局关于资产</w:t>
      </w:r>
      <w:r>
        <w:rPr>
          <w:color w:val="333333"/>
          <w:sz w:val="24"/>
        </w:rPr>
        <w:t>（股权</w:t>
      </w:r>
      <w:r>
        <w:rPr>
          <w:color w:val="333333"/>
          <w:spacing w:val="-12"/>
          <w:sz w:val="24"/>
        </w:rPr>
        <w:t>）</w:t>
      </w:r>
      <w:r>
        <w:rPr>
          <w:color w:val="333333"/>
          <w:spacing w:val="-2"/>
          <w:sz w:val="24"/>
        </w:rPr>
        <w:t>划转企业所得税征管问题的公告》</w:t>
      </w:r>
      <w:r>
        <w:rPr>
          <w:color w:val="333333"/>
          <w:sz w:val="24"/>
        </w:rPr>
        <w:t>（</w:t>
      </w:r>
      <w:r>
        <w:rPr>
          <w:color w:val="333333"/>
          <w:spacing w:val="-15"/>
          <w:sz w:val="24"/>
        </w:rPr>
        <w:t>国</w:t>
      </w:r>
      <w:r>
        <w:rPr>
          <w:color w:val="333333"/>
          <w:spacing w:val="-2"/>
          <w:sz w:val="24"/>
        </w:rPr>
        <w:t xml:space="preserve">家税务总局公告 </w:t>
      </w:r>
      <w:r>
        <w:rPr>
          <w:color w:val="333333"/>
          <w:sz w:val="24"/>
        </w:rPr>
        <w:t>2015</w:t>
      </w:r>
      <w:r>
        <w:rPr>
          <w:color w:val="333333"/>
          <w:spacing w:val="-7"/>
          <w:sz w:val="24"/>
        </w:rPr>
        <w:t xml:space="preserve"> 年第 </w:t>
      </w:r>
      <w:r>
        <w:rPr>
          <w:color w:val="333333"/>
          <w:sz w:val="24"/>
        </w:rPr>
        <w:t>40</w:t>
      </w:r>
      <w:r>
        <w:rPr>
          <w:color w:val="333333"/>
          <w:spacing w:val="-6"/>
          <w:sz w:val="24"/>
        </w:rPr>
        <w:t xml:space="preserve"> 号</w:t>
      </w:r>
      <w:r>
        <w:rPr>
          <w:color w:val="333333"/>
          <w:sz w:val="24"/>
        </w:rPr>
        <w:t>）</w:t>
      </w:r>
    </w:p>
    <w:p>
      <w:pPr>
        <w:pStyle w:val="3"/>
        <w:spacing w:before="0" w:line="364" w:lineRule="auto"/>
        <w:ind w:right="1797" w:firstLine="480"/>
        <w:jc w:val="both"/>
      </w:pPr>
      <w:r>
        <w:rPr>
          <w:spacing w:val="-3"/>
        </w:rPr>
        <w:t>《国务院关于进一步优化企业兼并重组市场环境的意见》（</w:t>
      </w:r>
      <w:r>
        <w:rPr>
          <w:spacing w:val="-9"/>
        </w:rPr>
        <w:t>国发〔</w:t>
      </w:r>
      <w:r>
        <w:rPr>
          <w:rFonts w:ascii="Calibri" w:eastAsia="Calibri"/>
        </w:rPr>
        <w:t>2014</w:t>
      </w:r>
      <w:r>
        <w:rPr>
          <w:spacing w:val="-27"/>
        </w:rPr>
        <w:t>〕</w:t>
      </w:r>
      <w:r>
        <w:rPr>
          <w:rFonts w:ascii="Calibri" w:eastAsia="Calibri"/>
          <w:spacing w:val="-6"/>
        </w:rPr>
        <w:t xml:space="preserve">14 </w:t>
      </w:r>
      <w:r>
        <w:t>号）和《财政部 国家税务总局关于促进企业重组有关企业所得税处理问题的通</w:t>
      </w:r>
      <w:r>
        <w:rPr>
          <w:spacing w:val="-6"/>
        </w:rPr>
        <w:t>知》</w:t>
      </w:r>
      <w:r>
        <w:t>（</w:t>
      </w:r>
      <w:r>
        <w:rPr>
          <w:spacing w:val="-2"/>
        </w:rPr>
        <w:t>财税〔</w:t>
      </w:r>
      <w:r>
        <w:rPr>
          <w:rFonts w:ascii="Calibri" w:eastAsia="Calibri"/>
        </w:rPr>
        <w:t>2014</w:t>
      </w:r>
      <w:r>
        <w:rPr>
          <w:spacing w:val="-5"/>
        </w:rPr>
        <w:t>〕</w:t>
      </w:r>
      <w:r>
        <w:rPr>
          <w:rFonts w:ascii="Calibri" w:eastAsia="Calibri"/>
        </w:rPr>
        <w:t xml:space="preserve">109 </w:t>
      </w:r>
      <w:r>
        <w:rPr>
          <w:spacing w:val="-4"/>
        </w:rPr>
        <w:t>号，以下简称《通知》</w:t>
      </w:r>
      <w:r>
        <w:rPr>
          <w:spacing w:val="-5"/>
        </w:rPr>
        <w:t>）</w:t>
      </w:r>
      <w:r>
        <w:rPr>
          <w:spacing w:val="-3"/>
        </w:rPr>
        <w:t>下发后，各地陆续反映在企业</w:t>
      </w:r>
      <w:r>
        <w:rPr>
          <w:spacing w:val="-6"/>
        </w:rPr>
        <w:t>重组所得税政策执行过程中有些征管问题亟需明确。经研究，现就股权或资产划</w:t>
      </w:r>
      <w:r>
        <w:t>转企业所得税征管问题公告如下：</w:t>
      </w:r>
    </w:p>
    <w:p>
      <w:pPr>
        <w:pStyle w:val="3"/>
        <w:spacing w:before="0" w:line="364" w:lineRule="auto"/>
        <w:ind w:right="1797" w:firstLine="480"/>
        <w:jc w:val="both"/>
      </w:pPr>
      <w:r>
        <w:rPr>
          <w:spacing w:val="-3"/>
        </w:rPr>
        <w:t>一、《通知》第三条所称</w:t>
      </w:r>
      <w:r>
        <w:rPr>
          <w:rFonts w:ascii="Calibri" w:hAnsi="Calibri" w:eastAsia="Calibri"/>
        </w:rPr>
        <w:t>“100%</w:t>
      </w:r>
      <w:r>
        <w:rPr>
          <w:spacing w:val="-2"/>
        </w:rPr>
        <w:t>直接控制的居民企业之间，以及受同一或相</w:t>
      </w:r>
      <w:r>
        <w:rPr>
          <w:spacing w:val="-8"/>
        </w:rPr>
        <w:t xml:space="preserve">同多家居民企业 </w:t>
      </w:r>
      <w:r>
        <w:rPr>
          <w:rFonts w:ascii="Calibri" w:hAnsi="Calibri" w:eastAsia="Calibri"/>
        </w:rPr>
        <w:t>100%</w:t>
      </w:r>
      <w:r>
        <w:t>直接控制的居民企业之间按账面净值划转股权或资产</w:t>
      </w:r>
      <w:r>
        <w:rPr>
          <w:rFonts w:ascii="Calibri" w:hAnsi="Calibri" w:eastAsia="Calibri"/>
          <w:spacing w:val="-35"/>
        </w:rPr>
        <w:t>”</w:t>
      </w:r>
      <w:r>
        <w:rPr>
          <w:spacing w:val="-25"/>
        </w:rPr>
        <w:t>，限</w:t>
      </w:r>
      <w:r>
        <w:t>于以下情形：</w:t>
      </w:r>
    </w:p>
    <w:p>
      <w:pPr>
        <w:pStyle w:val="3"/>
        <w:spacing w:before="0" w:line="364" w:lineRule="auto"/>
        <w:ind w:right="1797" w:firstLine="480"/>
      </w:pPr>
      <w:r>
        <w:t>（一）</w:t>
      </w:r>
      <w:r>
        <w:rPr>
          <w:rFonts w:ascii="Calibri" w:eastAsia="Calibri"/>
        </w:rPr>
        <w:t>100%</w:t>
      </w:r>
      <w:r>
        <w:t>直接控制的母子公司之间，母公司向子公司按账面净值划转其持有的股权或资产</w:t>
      </w:r>
      <w:r>
        <w:rPr>
          <w:rFonts w:ascii="Calibri" w:eastAsia="Calibri"/>
        </w:rPr>
        <w:t>,</w:t>
      </w:r>
      <w:r>
        <w:rPr>
          <w:spacing w:val="-7"/>
        </w:rPr>
        <w:t xml:space="preserve">母公司获得子公司 </w:t>
      </w:r>
      <w:r>
        <w:rPr>
          <w:rFonts w:ascii="Calibri" w:eastAsia="Calibri"/>
        </w:rPr>
        <w:t>100%</w:t>
      </w:r>
      <w:r>
        <w:rPr>
          <w:spacing w:val="-6"/>
        </w:rPr>
        <w:t>的股权支付。母公司按增加长期股权</w:t>
      </w:r>
      <w:r>
        <w:rPr>
          <w:spacing w:val="-5"/>
        </w:rPr>
        <w:t>投资处理，子公司按接受投资</w:t>
      </w:r>
      <w:r>
        <w:rPr>
          <w:spacing w:val="-3"/>
        </w:rPr>
        <w:t>（包括资本公积，下同</w:t>
      </w:r>
      <w:r>
        <w:rPr>
          <w:spacing w:val="-20"/>
        </w:rPr>
        <w:t>）</w:t>
      </w:r>
      <w:r>
        <w:rPr>
          <w:spacing w:val="-5"/>
        </w:rPr>
        <w:t>处理。母公司获得子公司</w:t>
      </w:r>
      <w:r>
        <w:t>股权的计税基础以划转股权或资产的原计税基础确定。</w:t>
      </w:r>
    </w:p>
    <w:p>
      <w:pPr>
        <w:pStyle w:val="3"/>
        <w:spacing w:before="0" w:line="364" w:lineRule="auto"/>
        <w:ind w:right="1797" w:firstLine="480"/>
      </w:pPr>
      <w:r>
        <w:t>（二）</w:t>
      </w:r>
      <w:r>
        <w:rPr>
          <w:rFonts w:ascii="Calibri" w:eastAsia="Calibri"/>
        </w:rPr>
        <w:t>100%</w:t>
      </w:r>
      <w:r>
        <w:t>直接控制的母子公司之间，母公司向子公司按账面净值划转其</w:t>
      </w:r>
      <w:r>
        <w:rPr>
          <w:spacing w:val="-9"/>
        </w:rPr>
        <w:t>持有的股权或资产，母公司没有获得任何股权或非股权支付。母公司按冲减实收</w:t>
      </w:r>
      <w:r>
        <w:t>资本（包括资本公积，下同）处理，子公司按接受投资处理。</w:t>
      </w:r>
    </w:p>
    <w:p>
      <w:pPr>
        <w:pStyle w:val="3"/>
        <w:spacing w:before="0"/>
        <w:ind w:left="2280"/>
      </w:pPr>
      <w:r>
        <w:t>（三）</w:t>
      </w:r>
      <w:r>
        <w:rPr>
          <w:rFonts w:ascii="Calibri" w:eastAsia="Calibri"/>
        </w:rPr>
        <w:t>100%</w:t>
      </w:r>
      <w:r>
        <w:t>直接控制的母子公司之间，子公司向母公司按账面净值划转其</w:t>
      </w:r>
    </w:p>
    <w:p>
      <w:pPr>
        <w:spacing w:after="0"/>
        <w:sectPr>
          <w:pgSz w:w="11910" w:h="16840"/>
          <w:pgMar w:top="1540" w:right="0" w:bottom="1380" w:left="0" w:header="965" w:footer="1182" w:gutter="0"/>
          <w:cols w:space="720" w:num="1"/>
        </w:sectPr>
      </w:pPr>
    </w:p>
    <w:p>
      <w:pPr>
        <w:pStyle w:val="3"/>
        <w:spacing w:before="2"/>
        <w:ind w:left="0"/>
        <w:rPr>
          <w:sz w:val="12"/>
        </w:rPr>
      </w:pPr>
    </w:p>
    <w:p>
      <w:pPr>
        <w:pStyle w:val="3"/>
        <w:spacing w:before="67" w:line="364" w:lineRule="auto"/>
        <w:ind w:right="1797"/>
        <w:jc w:val="both"/>
      </w:pPr>
      <w:r>
        <w:rPr>
          <w:spacing w:val="-9"/>
        </w:rPr>
        <w:t>持有的股权或资产，子公司没有获得任何股权或非股权支付。母公司按收回投资</w:t>
      </w:r>
      <w:r>
        <w:rPr>
          <w:spacing w:val="-11"/>
        </w:rPr>
        <w:t>处理，或按接受投资处理，子公司按冲减实收资本处理。母公司应按被划转股权</w:t>
      </w:r>
      <w:r>
        <w:t>或资产的原计税基础，相应调减持有子公司股权的计税基础。</w:t>
      </w:r>
    </w:p>
    <w:p>
      <w:pPr>
        <w:pStyle w:val="3"/>
        <w:spacing w:before="2" w:line="364" w:lineRule="auto"/>
        <w:ind w:right="1797" w:firstLine="480"/>
        <w:jc w:val="both"/>
      </w:pPr>
      <w:r>
        <w:t>（四）</w:t>
      </w:r>
      <w:r>
        <w:rPr>
          <w:spacing w:val="-6"/>
        </w:rPr>
        <w:t xml:space="preserve">受同一或相同多家母公司 </w:t>
      </w:r>
      <w:r>
        <w:rPr>
          <w:rFonts w:ascii="Calibri" w:eastAsia="Calibri"/>
        </w:rPr>
        <w:t>100%</w:t>
      </w:r>
      <w:r>
        <w:t>直接控制的子公司之间，在母公司主</w:t>
      </w:r>
      <w:r>
        <w:rPr>
          <w:spacing w:val="-10"/>
        </w:rPr>
        <w:t>导下，一家子公司向另一家子公司按账面净值划转其持有的股权或资产，划出方</w:t>
      </w:r>
      <w:r>
        <w:rPr>
          <w:spacing w:val="-7"/>
        </w:rPr>
        <w:t>没有获得任何股权或非股权支付。划出方按冲减所有者权益处理，划入方按接受</w:t>
      </w:r>
      <w:r>
        <w:t>投资处理。</w:t>
      </w:r>
    </w:p>
    <w:p>
      <w:pPr>
        <w:pStyle w:val="3"/>
        <w:spacing w:before="2"/>
        <w:ind w:left="2280"/>
        <w:jc w:val="both"/>
      </w:pPr>
      <w:r>
        <w:t>二、《通知》第三条所称</w:t>
      </w:r>
      <w:r>
        <w:rPr>
          <w:rFonts w:ascii="Calibri" w:hAnsi="Calibri" w:eastAsia="Calibri"/>
        </w:rPr>
        <w:t>“</w:t>
      </w:r>
      <w:r>
        <w:t xml:space="preserve">股权或资产划转后连续 </w:t>
      </w:r>
      <w:r>
        <w:rPr>
          <w:rFonts w:ascii="Calibri" w:hAnsi="Calibri" w:eastAsia="Calibri"/>
        </w:rPr>
        <w:t xml:space="preserve">12 </w:t>
      </w:r>
      <w:r>
        <w:t>个月内不改变被划转股</w:t>
      </w:r>
    </w:p>
    <w:p>
      <w:pPr>
        <w:pStyle w:val="3"/>
        <w:spacing w:before="161" w:line="364" w:lineRule="auto"/>
        <w:ind w:right="1797"/>
        <w:jc w:val="both"/>
      </w:pPr>
      <w:r>
        <w:t>权或资产原来实质性经营活动</w:t>
      </w:r>
      <w:r>
        <w:rPr>
          <w:rFonts w:ascii="Calibri" w:hAnsi="Calibri" w:eastAsia="Calibri"/>
          <w:spacing w:val="-40"/>
        </w:rPr>
        <w:t>”</w:t>
      </w:r>
      <w:r>
        <w:rPr>
          <w:spacing w:val="-10"/>
        </w:rPr>
        <w:t xml:space="preserve">，是指自股权或资产划转完成日起连续 </w:t>
      </w:r>
      <w:r>
        <w:rPr>
          <w:rFonts w:ascii="Calibri" w:hAnsi="Calibri" w:eastAsia="Calibri"/>
        </w:rPr>
        <w:t xml:space="preserve">12 </w:t>
      </w:r>
      <w:r>
        <w:rPr>
          <w:spacing w:val="-5"/>
        </w:rPr>
        <w:t>个月内</w:t>
      </w:r>
      <w:r>
        <w:t>不改变被划转股权或资产原来实质性经营活动。</w:t>
      </w:r>
    </w:p>
    <w:p>
      <w:pPr>
        <w:pStyle w:val="3"/>
        <w:spacing w:line="364" w:lineRule="auto"/>
        <w:ind w:right="1797" w:firstLine="480"/>
      </w:pPr>
      <w:r>
        <w:pict>
          <v:shape id="_x0000_s1113" o:spid="_x0000_s1113" o:spt="136" type="#_x0000_t136" style="position:absolute;left:0pt;margin-left:41.25pt;margin-top:39.65pt;height:132pt;width:528.05pt;mso-position-horizontal-relative:page;rotation:20643840f;z-index:-251567104;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spacing w:val="-4"/>
        </w:rPr>
        <w:t>股权或资产划转完成日，是指股权或资产划转合同</w:t>
      </w:r>
      <w:r>
        <w:t>（协议</w:t>
      </w:r>
      <w:r>
        <w:rPr>
          <w:spacing w:val="-24"/>
        </w:rPr>
        <w:t>）</w:t>
      </w:r>
      <w:r>
        <w:rPr>
          <w:spacing w:val="-6"/>
        </w:rPr>
        <w:t>或批复生效，且</w:t>
      </w:r>
      <w:r>
        <w:t>交易双方已进行会计处理的日期。</w:t>
      </w:r>
    </w:p>
    <w:p>
      <w:pPr>
        <w:pStyle w:val="3"/>
        <w:spacing w:line="364" w:lineRule="auto"/>
        <w:ind w:right="1843" w:firstLine="480"/>
        <w:jc w:val="both"/>
      </w:pPr>
      <w:r>
        <w:t>三、《通知》第三条所称</w:t>
      </w:r>
      <w:r>
        <w:rPr>
          <w:rFonts w:ascii="Calibri" w:hAnsi="Calibri" w:eastAsia="Calibri"/>
        </w:rPr>
        <w:t>“</w:t>
      </w:r>
      <w:r>
        <w:t>划入方企业取得被划转股权或资产的计税基础， 以被划转股权或资产的原账面净值确定</w:t>
      </w:r>
      <w:r>
        <w:rPr>
          <w:rFonts w:ascii="Calibri" w:hAnsi="Calibri" w:eastAsia="Calibri"/>
        </w:rPr>
        <w:t>”</w:t>
      </w:r>
      <w:r>
        <w:t>，是指划入方企业取得被划转股权或资产的计税基础，以被划转股权或资产的原计税基础确定。</w:t>
      </w:r>
    </w:p>
    <w:p>
      <w:pPr>
        <w:pStyle w:val="3"/>
        <w:spacing w:before="2" w:line="364" w:lineRule="auto"/>
        <w:ind w:right="1843" w:firstLine="480"/>
        <w:jc w:val="both"/>
      </w:pPr>
      <w:r>
        <w:t>《通知》第三条所称</w:t>
      </w:r>
      <w:r>
        <w:rPr>
          <w:rFonts w:ascii="Calibri" w:hAnsi="Calibri" w:eastAsia="Calibri"/>
        </w:rPr>
        <w:t>“</w:t>
      </w:r>
      <w:r>
        <w:t>划入方企业取得的被划转资产，应按其原账面净值计算折旧扣除</w:t>
      </w:r>
      <w:r>
        <w:rPr>
          <w:rFonts w:ascii="Calibri" w:hAnsi="Calibri" w:eastAsia="Calibri"/>
        </w:rPr>
        <w:t>”</w:t>
      </w:r>
      <w:r>
        <w:t>，是指划入方企业取得的被划转资产，应按被划转资产的原计税基础计算折旧扣除或摊销。</w:t>
      </w:r>
    </w:p>
    <w:p>
      <w:pPr>
        <w:pStyle w:val="3"/>
        <w:spacing w:before="2" w:line="364" w:lineRule="auto"/>
        <w:ind w:right="1797" w:firstLine="480"/>
      </w:pPr>
      <w:r>
        <w:rPr>
          <w:spacing w:val="-11"/>
        </w:rPr>
        <w:t>四、按照《通知》第三条规定进行特殊性税务处理的股权或资产划转，交易</w:t>
      </w:r>
      <w:r>
        <w:t>双方应在协商一致的基础上，采取一致处理原则统一进行特殊性税务处理。</w:t>
      </w:r>
    </w:p>
    <w:p>
      <w:pPr>
        <w:pStyle w:val="3"/>
        <w:spacing w:line="364" w:lineRule="auto"/>
        <w:ind w:right="1797" w:firstLine="480"/>
        <w:jc w:val="both"/>
      </w:pPr>
      <w:r>
        <w:rPr>
          <w:spacing w:val="-10"/>
        </w:rPr>
        <w:t>五、交易双方应在企业所得税年度汇算清缴时，分别向各自主管税务机关报</w:t>
      </w:r>
      <w:r>
        <w:rPr>
          <w:spacing w:val="-7"/>
        </w:rPr>
        <w:t>送《居民企业资产</w:t>
      </w:r>
      <w:r>
        <w:t>（股权</w:t>
      </w:r>
      <w:r>
        <w:rPr>
          <w:spacing w:val="-17"/>
        </w:rPr>
        <w:t>）</w:t>
      </w:r>
      <w:r>
        <w:rPr>
          <w:spacing w:val="-3"/>
        </w:rPr>
        <w:t>划转特殊性税务处理申报表》</w:t>
      </w:r>
      <w:r>
        <w:t>（详见附件</w:t>
      </w:r>
      <w:r>
        <w:rPr>
          <w:spacing w:val="-15"/>
        </w:rPr>
        <w:t>）</w:t>
      </w:r>
      <w:r>
        <w:rPr>
          <w:spacing w:val="-4"/>
        </w:rPr>
        <w:t>和相关资</w:t>
      </w:r>
      <w:r>
        <w:t>料（一式两份）。</w:t>
      </w:r>
    </w:p>
    <w:p>
      <w:pPr>
        <w:pStyle w:val="3"/>
        <w:spacing w:before="2"/>
        <w:ind w:left="2280"/>
      </w:pPr>
      <w:r>
        <w:t>相关资料包括：</w:t>
      </w:r>
    </w:p>
    <w:p>
      <w:pPr>
        <w:pStyle w:val="8"/>
        <w:numPr>
          <w:ilvl w:val="0"/>
          <w:numId w:val="89"/>
        </w:numPr>
        <w:tabs>
          <w:tab w:val="left" w:pos="2464"/>
        </w:tabs>
        <w:spacing w:before="160" w:after="0" w:line="364" w:lineRule="auto"/>
        <w:ind w:left="1800" w:right="1797" w:firstLine="480"/>
        <w:jc w:val="left"/>
        <w:rPr>
          <w:rFonts w:hint="eastAsia" w:ascii="宋体" w:eastAsia="宋体"/>
          <w:sz w:val="24"/>
        </w:rPr>
      </w:pPr>
      <w:r>
        <w:rPr>
          <w:rFonts w:hint="eastAsia" w:ascii="宋体" w:eastAsia="宋体"/>
          <w:spacing w:val="-4"/>
          <w:sz w:val="24"/>
        </w:rPr>
        <w:t>股权或资产划转总体情况说明，包括基本情况、划转方案等，并详细说明</w:t>
      </w:r>
      <w:r>
        <w:rPr>
          <w:rFonts w:hint="eastAsia" w:ascii="宋体" w:eastAsia="宋体"/>
          <w:sz w:val="24"/>
        </w:rPr>
        <w:t>划转的商业目的；</w:t>
      </w:r>
    </w:p>
    <w:p>
      <w:pPr>
        <w:pStyle w:val="8"/>
        <w:numPr>
          <w:ilvl w:val="0"/>
          <w:numId w:val="89"/>
        </w:numPr>
        <w:tabs>
          <w:tab w:val="left" w:pos="2464"/>
        </w:tabs>
        <w:spacing w:before="1" w:after="0" w:line="364" w:lineRule="auto"/>
        <w:ind w:left="1800" w:right="1797" w:firstLine="480"/>
        <w:jc w:val="left"/>
        <w:rPr>
          <w:rFonts w:hint="eastAsia" w:ascii="宋体" w:eastAsia="宋体"/>
          <w:sz w:val="24"/>
        </w:rPr>
      </w:pPr>
      <w:r>
        <w:rPr>
          <w:rFonts w:hint="eastAsia" w:ascii="宋体" w:eastAsia="宋体"/>
          <w:spacing w:val="-1"/>
          <w:sz w:val="24"/>
        </w:rPr>
        <w:t>交易双方或多方签订的股权或资产划转合同</w:t>
      </w:r>
      <w:r>
        <w:rPr>
          <w:rFonts w:hint="eastAsia" w:ascii="宋体" w:eastAsia="宋体"/>
          <w:sz w:val="24"/>
        </w:rPr>
        <w:t>（协议</w:t>
      </w:r>
      <w:r>
        <w:rPr>
          <w:rFonts w:hint="eastAsia" w:ascii="宋体" w:eastAsia="宋体"/>
          <w:spacing w:val="-9"/>
          <w:sz w:val="24"/>
        </w:rPr>
        <w:t>）</w:t>
      </w:r>
      <w:r>
        <w:rPr>
          <w:rFonts w:hint="eastAsia" w:ascii="宋体" w:eastAsia="宋体"/>
          <w:spacing w:val="-5"/>
          <w:sz w:val="24"/>
        </w:rPr>
        <w:t>，需有权部门</w:t>
      </w:r>
      <w:r>
        <w:rPr>
          <w:rFonts w:hint="eastAsia" w:ascii="宋体" w:eastAsia="宋体"/>
          <w:sz w:val="24"/>
        </w:rPr>
        <w:t>（</w:t>
      </w:r>
      <w:r>
        <w:rPr>
          <w:rFonts w:hint="eastAsia" w:ascii="宋体" w:eastAsia="宋体"/>
          <w:spacing w:val="-8"/>
          <w:sz w:val="24"/>
        </w:rPr>
        <w:t>包括</w:t>
      </w:r>
      <w:r>
        <w:rPr>
          <w:rFonts w:hint="eastAsia" w:ascii="宋体" w:eastAsia="宋体"/>
          <w:sz w:val="24"/>
        </w:rPr>
        <w:t>内部和外部）批准的，应提供批准文件；</w:t>
      </w:r>
    </w:p>
    <w:p>
      <w:pPr>
        <w:pStyle w:val="8"/>
        <w:numPr>
          <w:ilvl w:val="0"/>
          <w:numId w:val="89"/>
        </w:numPr>
        <w:tabs>
          <w:tab w:val="left" w:pos="2464"/>
        </w:tabs>
        <w:spacing w:before="1" w:after="0" w:line="240" w:lineRule="auto"/>
        <w:ind w:left="2463" w:right="0" w:hanging="184"/>
        <w:jc w:val="left"/>
        <w:rPr>
          <w:rFonts w:hint="eastAsia" w:ascii="宋体" w:eastAsia="宋体"/>
          <w:sz w:val="24"/>
        </w:rPr>
      </w:pPr>
      <w:r>
        <w:rPr>
          <w:rFonts w:hint="eastAsia" w:ascii="宋体" w:eastAsia="宋体"/>
          <w:sz w:val="24"/>
        </w:rPr>
        <w:t>被划转股权或资产账面净值和计税基础说明；</w:t>
      </w:r>
    </w:p>
    <w:p>
      <w:pPr>
        <w:spacing w:after="0" w:line="240" w:lineRule="auto"/>
        <w:jc w:val="left"/>
        <w:rPr>
          <w:rFonts w:hint="eastAsia" w:ascii="宋体" w:eastAsia="宋体"/>
          <w:sz w:val="24"/>
        </w:rPr>
        <w:sectPr>
          <w:pgSz w:w="11910" w:h="16840"/>
          <w:pgMar w:top="1540" w:right="0" w:bottom="1380" w:left="0" w:header="965" w:footer="1182" w:gutter="0"/>
          <w:cols w:space="720" w:num="1"/>
        </w:sectPr>
      </w:pPr>
    </w:p>
    <w:p>
      <w:pPr>
        <w:pStyle w:val="3"/>
        <w:spacing w:before="2"/>
        <w:ind w:left="0"/>
        <w:rPr>
          <w:sz w:val="12"/>
        </w:rPr>
      </w:pPr>
    </w:p>
    <w:p>
      <w:pPr>
        <w:pStyle w:val="8"/>
        <w:numPr>
          <w:ilvl w:val="0"/>
          <w:numId w:val="89"/>
        </w:numPr>
        <w:tabs>
          <w:tab w:val="left" w:pos="2464"/>
        </w:tabs>
        <w:spacing w:before="67" w:after="0" w:line="240" w:lineRule="auto"/>
        <w:ind w:left="2463" w:right="0" w:hanging="184"/>
        <w:jc w:val="left"/>
        <w:rPr>
          <w:rFonts w:hint="eastAsia" w:ascii="宋体" w:eastAsia="宋体"/>
          <w:sz w:val="24"/>
        </w:rPr>
      </w:pPr>
      <w:r>
        <w:rPr>
          <w:rFonts w:hint="eastAsia" w:ascii="宋体" w:eastAsia="宋体"/>
          <w:sz w:val="24"/>
        </w:rPr>
        <w:t>交易双方按账面净值划转股权或资产的说明（需附会计处理资料）；</w:t>
      </w:r>
    </w:p>
    <w:p>
      <w:pPr>
        <w:pStyle w:val="8"/>
        <w:numPr>
          <w:ilvl w:val="0"/>
          <w:numId w:val="89"/>
        </w:numPr>
        <w:tabs>
          <w:tab w:val="left" w:pos="2464"/>
        </w:tabs>
        <w:spacing w:before="160" w:after="0" w:line="240" w:lineRule="auto"/>
        <w:ind w:left="2463" w:right="0" w:hanging="184"/>
        <w:jc w:val="left"/>
        <w:rPr>
          <w:rFonts w:hint="eastAsia" w:ascii="宋体" w:eastAsia="宋体"/>
          <w:sz w:val="24"/>
        </w:rPr>
      </w:pPr>
      <w:r>
        <w:rPr>
          <w:rFonts w:hint="eastAsia" w:ascii="宋体" w:eastAsia="宋体"/>
          <w:sz w:val="24"/>
        </w:rPr>
        <w:t>交易双方均未在会计上确认损益的说明（需附会计处理资料）；</w:t>
      </w:r>
    </w:p>
    <w:p>
      <w:pPr>
        <w:pStyle w:val="3"/>
        <w:spacing w:before="161"/>
        <w:ind w:left="2280"/>
        <w:jc w:val="both"/>
      </w:pPr>
      <w:r>
        <w:rPr>
          <w:rFonts w:ascii="Calibri" w:eastAsia="Calibri"/>
        </w:rPr>
        <w:t xml:space="preserve">6.12 </w:t>
      </w:r>
      <w:r>
        <w:t>个月内不改变被划转股权或资产原来实质性经营活动的承诺书。</w:t>
      </w:r>
    </w:p>
    <w:p>
      <w:pPr>
        <w:pStyle w:val="3"/>
        <w:spacing w:before="160" w:line="364" w:lineRule="auto"/>
        <w:ind w:right="1797" w:firstLine="480"/>
        <w:jc w:val="both"/>
      </w:pPr>
      <w:r>
        <w:rPr>
          <w:spacing w:val="-12"/>
        </w:rPr>
        <w:t>六、交易双方应在股权或资产划转完成后的下一年度的企业所得税年度申报</w:t>
      </w:r>
      <w:r>
        <w:rPr>
          <w:spacing w:val="-10"/>
        </w:rPr>
        <w:t xml:space="preserve">时，各自向主管税务机关提交书面情况说明，以证明被划转股权或资产自划转完成日后连续 </w:t>
      </w:r>
      <w:r>
        <w:rPr>
          <w:rFonts w:ascii="Calibri" w:eastAsia="Calibri"/>
        </w:rPr>
        <w:t xml:space="preserve">12 </w:t>
      </w:r>
      <w:r>
        <w:t>个月内，没有改变原来的实质性经营活动。</w:t>
      </w:r>
    </w:p>
    <w:p>
      <w:pPr>
        <w:pStyle w:val="3"/>
        <w:spacing w:before="2" w:line="364" w:lineRule="auto"/>
        <w:ind w:right="1677" w:firstLine="480"/>
      </w:pPr>
      <w:r>
        <w:rPr>
          <w:spacing w:val="-14"/>
        </w:rPr>
        <w:t xml:space="preserve">七、交易一方在股权或资产划转完成日后连续 </w:t>
      </w:r>
      <w:r>
        <w:rPr>
          <w:rFonts w:ascii="Calibri" w:eastAsia="Calibri"/>
        </w:rPr>
        <w:t xml:space="preserve">12 </w:t>
      </w:r>
      <w:r>
        <w:rPr>
          <w:spacing w:val="-2"/>
        </w:rPr>
        <w:t>个月内发生生产经营业务、</w:t>
      </w:r>
      <w:r>
        <w:rPr>
          <w:spacing w:val="-10"/>
        </w:rPr>
        <w:t>公司性质、资产或股权结构等情况变化，致使股权或资产划转不再符合特殊性税</w:t>
      </w:r>
      <w:r>
        <w:rPr>
          <w:spacing w:val="-12"/>
        </w:rPr>
        <w:t xml:space="preserve">务处理条件的，发生变化的交易一方应在情况发生变化的 </w:t>
      </w:r>
      <w:r>
        <w:rPr>
          <w:rFonts w:ascii="Calibri" w:eastAsia="Calibri"/>
        </w:rPr>
        <w:t xml:space="preserve">30 </w:t>
      </w:r>
      <w:r>
        <w:t>日内报告其主管税</w:t>
      </w:r>
    </w:p>
    <w:p>
      <w:pPr>
        <w:pStyle w:val="3"/>
        <w:spacing w:before="2" w:line="364" w:lineRule="auto"/>
        <w:ind w:right="1756"/>
      </w:pPr>
      <w:r>
        <w:t xml:space="preserve">务机关，同时书面通知另一方。另一方应在接到通知后 </w:t>
      </w:r>
      <w:r>
        <w:rPr>
          <w:rFonts w:ascii="Calibri" w:eastAsia="Calibri"/>
        </w:rPr>
        <w:t xml:space="preserve">30 </w:t>
      </w:r>
      <w:r>
        <w:t>日内将有关变化报告其主管税务机关。</w:t>
      </w:r>
    </w:p>
    <w:p>
      <w:pPr>
        <w:pStyle w:val="3"/>
        <w:spacing w:line="364" w:lineRule="auto"/>
        <w:ind w:right="1821" w:firstLine="480"/>
        <w:jc w:val="both"/>
      </w:pPr>
      <w:r>
        <w:pict>
          <v:shape id="_x0000_s1114" o:spid="_x0000_s1114" o:spt="136" type="#_x0000_t136" style="position:absolute;left:0pt;margin-left:41.25pt;margin-top:16.25pt;height:132pt;width:528.05pt;mso-position-horizontal-relative:page;rotation:20643840f;z-index:-251566080;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spacing w:val="-4"/>
        </w:rPr>
        <w:t xml:space="preserve">八、本公告第七条所述情况发生变化后 </w:t>
      </w:r>
      <w:r>
        <w:rPr>
          <w:rFonts w:ascii="Calibri" w:eastAsia="Calibri"/>
        </w:rPr>
        <w:t xml:space="preserve">60 </w:t>
      </w:r>
      <w:r>
        <w:rPr>
          <w:spacing w:val="-2"/>
        </w:rPr>
        <w:t>日内，原交易双方应按以下规定</w:t>
      </w:r>
      <w:r>
        <w:t>进行税务处理：</w:t>
      </w:r>
    </w:p>
    <w:p>
      <w:pPr>
        <w:pStyle w:val="3"/>
        <w:spacing w:line="364" w:lineRule="auto"/>
        <w:ind w:right="1797" w:firstLine="460"/>
        <w:jc w:val="both"/>
      </w:pPr>
      <w:r>
        <w:t>（一</w:t>
      </w:r>
      <w:r>
        <w:rPr>
          <w:spacing w:val="-20"/>
        </w:rPr>
        <w:t>）</w:t>
      </w:r>
      <w:r>
        <w:rPr>
          <w:spacing w:val="-2"/>
        </w:rPr>
        <w:t>属于本公告第一条第</w:t>
      </w:r>
      <w:r>
        <w:rPr>
          <w:spacing w:val="-3"/>
        </w:rPr>
        <w:t>（</w:t>
      </w:r>
      <w:r>
        <w:t>一</w:t>
      </w:r>
      <w:r>
        <w:rPr>
          <w:spacing w:val="-20"/>
        </w:rPr>
        <w:t>）</w:t>
      </w:r>
      <w:r>
        <w:rPr>
          <w:spacing w:val="-4"/>
        </w:rPr>
        <w:t>项规定情形的，母公司应按原划转完成时</w:t>
      </w:r>
      <w:r>
        <w:rPr>
          <w:spacing w:val="-7"/>
        </w:rPr>
        <w:t>股权或资产的公允价值视同销售处理，并按公允价值确认取得长期股权投资的计</w:t>
      </w:r>
      <w:r>
        <w:t>税基础；子公司按公允价值确认划入股权或资产的计税基础。</w:t>
      </w:r>
    </w:p>
    <w:p>
      <w:pPr>
        <w:pStyle w:val="3"/>
        <w:spacing w:before="2" w:line="364" w:lineRule="auto"/>
        <w:ind w:right="1797" w:firstLine="480"/>
        <w:jc w:val="both"/>
      </w:pPr>
      <w:r>
        <w:rPr>
          <w:spacing w:val="-4"/>
        </w:rPr>
        <w:t>属于本公告第一条第</w:t>
      </w:r>
      <w:r>
        <w:t>（二</w:t>
      </w:r>
      <w:r>
        <w:rPr>
          <w:spacing w:val="-32"/>
        </w:rPr>
        <w:t>）</w:t>
      </w:r>
      <w:r>
        <w:rPr>
          <w:spacing w:val="-6"/>
        </w:rPr>
        <w:t>项规定情形的，母公司应按原划转完成时股权或</w:t>
      </w:r>
      <w:r>
        <w:rPr>
          <w:spacing w:val="-8"/>
        </w:rPr>
        <w:t>资产的公允价值视同销售处理；子公司按公允价值确认划入股权或资产的计税基</w:t>
      </w:r>
      <w:r>
        <w:t>础。</w:t>
      </w:r>
    </w:p>
    <w:p>
      <w:pPr>
        <w:pStyle w:val="3"/>
        <w:spacing w:before="2" w:line="364" w:lineRule="auto"/>
        <w:ind w:right="1801" w:firstLine="480"/>
      </w:pPr>
      <w:r>
        <w:rPr>
          <w:spacing w:val="-4"/>
        </w:rPr>
        <w:t>属于本公告第一条第</w:t>
      </w:r>
      <w:r>
        <w:t>（三</w:t>
      </w:r>
      <w:r>
        <w:rPr>
          <w:spacing w:val="-32"/>
        </w:rPr>
        <w:t>）</w:t>
      </w:r>
      <w:r>
        <w:rPr>
          <w:spacing w:val="-6"/>
        </w:rPr>
        <w:t>项规定情形的，子公司应按原划转完成时股权或</w:t>
      </w:r>
      <w:r>
        <w:t>资产的公允价值视同销售处理；母公司应按撤回或减少投资进行处理。</w:t>
      </w:r>
    </w:p>
    <w:p>
      <w:pPr>
        <w:pStyle w:val="3"/>
        <w:spacing w:line="364" w:lineRule="auto"/>
        <w:ind w:right="1797" w:firstLine="480"/>
        <w:jc w:val="both"/>
      </w:pPr>
      <w:r>
        <w:rPr>
          <w:spacing w:val="-4"/>
        </w:rPr>
        <w:t>属于本公告第一条第</w:t>
      </w:r>
      <w:r>
        <w:t>（四</w:t>
      </w:r>
      <w:r>
        <w:rPr>
          <w:spacing w:val="-32"/>
        </w:rPr>
        <w:t>）</w:t>
      </w:r>
      <w:r>
        <w:rPr>
          <w:spacing w:val="-6"/>
        </w:rPr>
        <w:t>项规定情形的，划出方应按原划转完成时股权或</w:t>
      </w:r>
      <w:r>
        <w:rPr>
          <w:spacing w:val="-8"/>
        </w:rPr>
        <w:t>资产的公允价值视同销售处理；母公司根据交易情形和会计处理对划出方按分回</w:t>
      </w:r>
      <w:r>
        <w:rPr>
          <w:spacing w:val="-10"/>
        </w:rPr>
        <w:t>股息进行处理，或者按撤回或减少投资进行处理，对划入方按以股权或资产的公</w:t>
      </w:r>
      <w:r>
        <w:rPr>
          <w:spacing w:val="-8"/>
        </w:rPr>
        <w:t>允价值进行投资处理；划入方按接受母公司投资处理，以公允价值确认划入股权</w:t>
      </w:r>
      <w:r>
        <w:t>或资产的计税基础。</w:t>
      </w:r>
    </w:p>
    <w:p>
      <w:pPr>
        <w:pStyle w:val="3"/>
        <w:spacing w:before="3" w:line="364" w:lineRule="auto"/>
        <w:ind w:right="1797" w:firstLine="432"/>
        <w:jc w:val="both"/>
      </w:pPr>
      <w:r>
        <w:t>（二</w:t>
      </w:r>
      <w:r>
        <w:rPr>
          <w:spacing w:val="-46"/>
        </w:rPr>
        <w:t>）</w:t>
      </w:r>
      <w:r>
        <w:rPr>
          <w:spacing w:val="-1"/>
        </w:rPr>
        <w:t>交易双方应调整划转完成纳税年度的应纳税所得额及相应股权或资产</w:t>
      </w:r>
      <w:r>
        <w:rPr>
          <w:spacing w:val="-11"/>
        </w:rPr>
        <w:t>的计税基础，向各自主管税务机关申请调整划转完成纳税年度的企业所得税年度</w:t>
      </w:r>
      <w:r>
        <w:t>申报表，依法计算缴纳企业所得税。</w:t>
      </w:r>
    </w:p>
    <w:p>
      <w:pPr>
        <w:spacing w:after="0" w:line="364" w:lineRule="auto"/>
        <w:jc w:val="both"/>
        <w:sectPr>
          <w:pgSz w:w="11910" w:h="16840"/>
          <w:pgMar w:top="1540" w:right="0" w:bottom="1380" w:left="0" w:header="965" w:footer="1182" w:gutter="0"/>
          <w:cols w:space="720" w:num="1"/>
        </w:sectPr>
      </w:pPr>
    </w:p>
    <w:p>
      <w:pPr>
        <w:pStyle w:val="3"/>
        <w:spacing w:before="2"/>
        <w:ind w:left="0"/>
        <w:rPr>
          <w:sz w:val="12"/>
        </w:rPr>
      </w:pPr>
    </w:p>
    <w:p>
      <w:pPr>
        <w:pStyle w:val="3"/>
        <w:spacing w:before="67" w:line="364" w:lineRule="auto"/>
        <w:ind w:right="1797" w:firstLine="480"/>
      </w:pPr>
      <w:r>
        <w:rPr>
          <w:spacing w:val="-12"/>
        </w:rPr>
        <w:t>九、交易双方的主管税务机关应对企业申报适用特殊性税务处理的股权或资</w:t>
      </w:r>
      <w:r>
        <w:t>产划转加强后续管理。</w:t>
      </w:r>
    </w:p>
    <w:p>
      <w:pPr>
        <w:pStyle w:val="3"/>
        <w:spacing w:line="364" w:lineRule="auto"/>
        <w:ind w:right="1797" w:firstLine="480"/>
        <w:jc w:val="both"/>
      </w:pPr>
      <w:r>
        <w:rPr>
          <w:spacing w:val="-8"/>
        </w:rPr>
        <w:t xml:space="preserve">十、本公告适用 </w:t>
      </w:r>
      <w:r>
        <w:rPr>
          <w:rFonts w:ascii="Calibri" w:eastAsia="Calibri"/>
        </w:rPr>
        <w:t xml:space="preserve">2014 </w:t>
      </w:r>
      <w:r>
        <w:t>年度及以后年度企业所得税汇算清缴。此前尚未进行</w:t>
      </w:r>
      <w:r>
        <w:rPr>
          <w:spacing w:val="-9"/>
        </w:rPr>
        <w:t>税务处理的股权、资产划转，符合《通知》第三条和本公告规定的可按本公告执</w:t>
      </w:r>
      <w:r>
        <w:t>行。</w:t>
      </w:r>
    </w:p>
    <w:p>
      <w:pPr>
        <w:pStyle w:val="3"/>
        <w:spacing w:before="2"/>
        <w:ind w:left="2280"/>
      </w:pPr>
      <w:r>
        <w:t>特此公告。</w:t>
      </w:r>
    </w:p>
    <w:p>
      <w:pPr>
        <w:spacing w:before="170"/>
        <w:ind w:left="2280" w:right="0" w:firstLine="0"/>
        <w:jc w:val="left"/>
        <w:outlineLvl w:val="1"/>
        <w:rPr>
          <w:rFonts w:hint="eastAsia" w:ascii="微软雅黑" w:eastAsia="微软雅黑"/>
          <w:b/>
          <w:sz w:val="24"/>
        </w:rPr>
      </w:pPr>
      <w:r>
        <w:rPr>
          <w:rFonts w:hint="eastAsia" w:ascii="微软雅黑" w:eastAsia="微软雅黑"/>
          <w:b/>
          <w:color w:val="333333"/>
          <w:sz w:val="24"/>
        </w:rPr>
        <w:t>【政策依据】非货币性资产投资</w:t>
      </w:r>
    </w:p>
    <w:p>
      <w:pPr>
        <w:pStyle w:val="8"/>
        <w:numPr>
          <w:ilvl w:val="0"/>
          <w:numId w:val="90"/>
        </w:numPr>
        <w:tabs>
          <w:tab w:val="left" w:pos="2484"/>
        </w:tabs>
        <w:spacing w:before="182" w:after="0" w:line="338" w:lineRule="auto"/>
        <w:ind w:left="1800" w:right="1797" w:firstLine="480"/>
        <w:jc w:val="left"/>
        <w:outlineLvl w:val="2"/>
        <w:rPr>
          <w:sz w:val="24"/>
        </w:rPr>
      </w:pPr>
      <w:bookmarkStart w:id="42" w:name="_bookmark23"/>
      <w:bookmarkEnd w:id="42"/>
      <w:bookmarkStart w:id="43" w:name="_bookmark23"/>
      <w:bookmarkEnd w:id="43"/>
      <w:r>
        <w:rPr>
          <w:color w:val="333333"/>
          <w:spacing w:val="3"/>
          <w:sz w:val="24"/>
        </w:rPr>
        <w:t>《财政部国家税务总局关于非货币性资产投资企业所得税政策问题的通知》（财税〔2014〕116</w:t>
      </w:r>
      <w:r>
        <w:rPr>
          <w:color w:val="333333"/>
          <w:spacing w:val="-7"/>
          <w:sz w:val="24"/>
        </w:rPr>
        <w:t xml:space="preserve"> 号</w:t>
      </w:r>
      <w:r>
        <w:rPr>
          <w:color w:val="333333"/>
          <w:sz w:val="24"/>
        </w:rPr>
        <w:t>）</w:t>
      </w:r>
    </w:p>
    <w:p>
      <w:pPr>
        <w:pStyle w:val="3"/>
        <w:spacing w:before="0" w:line="364" w:lineRule="auto"/>
        <w:ind w:right="1795" w:firstLine="480"/>
      </w:pPr>
      <w:r>
        <w:pict>
          <v:shape id="_x0000_s1115" o:spid="_x0000_s1115" o:spt="136" type="#_x0000_t136" style="position:absolute;left:0pt;margin-left:41.25pt;margin-top:39.6pt;height:132pt;width:528.05pt;mso-position-horizontal-relative:page;rotation:20643840f;z-index:-251565056;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spacing w:val="-8"/>
        </w:rPr>
        <w:t>各省、自治区、直辖市、计划单列市财政厅</w:t>
      </w:r>
      <w:r>
        <w:rPr>
          <w:spacing w:val="-3"/>
        </w:rPr>
        <w:t>（</w:t>
      </w:r>
      <w:r>
        <w:t>局</w:t>
      </w:r>
      <w:r>
        <w:rPr>
          <w:spacing w:val="-12"/>
        </w:rPr>
        <w:t>）</w:t>
      </w:r>
      <w:r>
        <w:rPr>
          <w:spacing w:val="-7"/>
        </w:rPr>
        <w:t>、国家税务局、地方税务</w:t>
      </w:r>
      <w:r>
        <w:t>局，新疆生产建设兵团财务局：</w:t>
      </w:r>
    </w:p>
    <w:p>
      <w:pPr>
        <w:pStyle w:val="3"/>
        <w:spacing w:before="0"/>
        <w:ind w:left="2280"/>
      </w:pPr>
      <w:r>
        <w:t>为贯彻落实《国务院关于进一步优化企业兼并重组市场环境的意见》（国发</w:t>
      </w:r>
    </w:p>
    <w:p>
      <w:pPr>
        <w:pStyle w:val="3"/>
        <w:spacing w:before="152" w:line="364" w:lineRule="auto"/>
        <w:ind w:right="1795"/>
      </w:pPr>
      <w:r>
        <w:t>〔</w:t>
      </w:r>
      <w:r>
        <w:rPr>
          <w:rFonts w:ascii="Calibri" w:eastAsia="Calibri"/>
        </w:rPr>
        <w:t>2014</w:t>
      </w:r>
      <w:r>
        <w:t>〕</w:t>
      </w:r>
      <w:r>
        <w:rPr>
          <w:rFonts w:ascii="Calibri" w:eastAsia="Calibri"/>
        </w:rPr>
        <w:t xml:space="preserve">14 </w:t>
      </w:r>
      <w:r>
        <w:t>号），根据《中华人民共和国企业所得税法》及其实施条例有关规定，现就非货币性资产投资涉及的企业所得税政策问题明确如下：</w:t>
      </w:r>
    </w:p>
    <w:p>
      <w:pPr>
        <w:pStyle w:val="3"/>
        <w:spacing w:line="364" w:lineRule="auto"/>
        <w:ind w:right="1637" w:firstLine="480"/>
      </w:pPr>
      <w:r>
        <w:t xml:space="preserve">一、居民企业（以下简称企业）以非货币性资产对外投资确认的非货币性资产转让所得，可在不超过 </w:t>
      </w:r>
      <w:r>
        <w:rPr>
          <w:rFonts w:ascii="Calibri" w:eastAsia="Calibri"/>
        </w:rPr>
        <w:t xml:space="preserve">5 </w:t>
      </w:r>
      <w:r>
        <w:t>年期限内，分期均匀计入相应年度的应纳税所得额， 按规定计算缴纳企业所得税。</w:t>
      </w:r>
    </w:p>
    <w:p>
      <w:pPr>
        <w:pStyle w:val="3"/>
        <w:spacing w:before="2" w:line="364" w:lineRule="auto"/>
        <w:ind w:right="1797" w:firstLine="480"/>
      </w:pPr>
      <w:r>
        <w:rPr>
          <w:spacing w:val="-11"/>
        </w:rPr>
        <w:t>二、企业以非货币性资产对外投资，应对非货币性资产进行评估并按评估后</w:t>
      </w:r>
      <w:r>
        <w:t>的公允价值扣除计税基础后的余额，计算确认非货币性资产转让所得。</w:t>
      </w:r>
    </w:p>
    <w:p>
      <w:pPr>
        <w:pStyle w:val="3"/>
        <w:spacing w:line="364" w:lineRule="auto"/>
        <w:ind w:right="1705" w:firstLine="480"/>
      </w:pPr>
      <w:r>
        <w:t>企业以非货币性资产对外投资，应于投资协议生效并办理股权登记手续时， 确认非货币性资产转让收入的实现。</w:t>
      </w:r>
    </w:p>
    <w:p>
      <w:pPr>
        <w:pStyle w:val="3"/>
        <w:spacing w:before="2" w:line="364" w:lineRule="auto"/>
        <w:ind w:right="1797" w:firstLine="480"/>
        <w:jc w:val="both"/>
      </w:pPr>
      <w:r>
        <w:rPr>
          <w:spacing w:val="-10"/>
        </w:rPr>
        <w:t>三、企业以非货币性资产对外投资而取得被投资企业的股权，应以非货币性</w:t>
      </w:r>
      <w:r>
        <w:rPr>
          <w:spacing w:val="-7"/>
        </w:rPr>
        <w:t>资产的原计税成本为计税基础，加上每年确认的非货币性资产转让所得，逐年进</w:t>
      </w:r>
      <w:r>
        <w:t>行调整。</w:t>
      </w:r>
    </w:p>
    <w:p>
      <w:pPr>
        <w:pStyle w:val="3"/>
        <w:spacing w:line="364" w:lineRule="auto"/>
        <w:ind w:right="1797" w:firstLine="480"/>
      </w:pPr>
      <w:r>
        <w:rPr>
          <w:spacing w:val="-6"/>
        </w:rPr>
        <w:t>被投资企业取得非货币性资产的计税基础，应按非货币性资产的公允价值确</w:t>
      </w:r>
      <w:r>
        <w:t>定。</w:t>
      </w:r>
    </w:p>
    <w:p>
      <w:pPr>
        <w:pStyle w:val="3"/>
        <w:spacing w:before="2" w:line="364" w:lineRule="auto"/>
        <w:ind w:right="1797" w:firstLine="480"/>
      </w:pPr>
      <w:r>
        <w:rPr>
          <w:spacing w:val="-13"/>
        </w:rPr>
        <w:t xml:space="preserve">四、企业在对外投资 </w:t>
      </w:r>
      <w:r>
        <w:rPr>
          <w:rFonts w:ascii="Calibri" w:eastAsia="Calibri"/>
        </w:rPr>
        <w:t xml:space="preserve">5 </w:t>
      </w:r>
      <w:r>
        <w:rPr>
          <w:spacing w:val="-5"/>
        </w:rPr>
        <w:t>年内转让上述股权或投资收回的，应停止执行递延纳</w:t>
      </w:r>
      <w:r>
        <w:rPr>
          <w:spacing w:val="-10"/>
        </w:rPr>
        <w:t>税政策，并就递延期内尚未确认的非货币性资产转让所得，在转让股权或投资收</w:t>
      </w:r>
    </w:p>
    <w:p>
      <w:pPr>
        <w:spacing w:after="0" w:line="364" w:lineRule="auto"/>
        <w:sectPr>
          <w:pgSz w:w="11910" w:h="16840"/>
          <w:pgMar w:top="1540" w:right="0" w:bottom="1380" w:left="0" w:header="965" w:footer="1182" w:gutter="0"/>
          <w:cols w:space="720" w:num="1"/>
        </w:sectPr>
      </w:pPr>
    </w:p>
    <w:p>
      <w:pPr>
        <w:pStyle w:val="3"/>
        <w:spacing w:before="2"/>
        <w:ind w:left="0"/>
        <w:rPr>
          <w:sz w:val="12"/>
        </w:rPr>
      </w:pPr>
    </w:p>
    <w:p>
      <w:pPr>
        <w:pStyle w:val="3"/>
        <w:spacing w:before="67" w:line="364" w:lineRule="auto"/>
        <w:ind w:right="1797"/>
        <w:jc w:val="both"/>
      </w:pPr>
      <w:r>
        <w:rPr>
          <w:spacing w:val="-6"/>
        </w:rPr>
        <w:t>回当年的企业所得税年度汇算清缴时，一次性计算缴纳企业所得税；企业在计算</w:t>
      </w:r>
      <w:r>
        <w:t>股权转让所得时，可按本通知第三条第一款规定将股权的计税基础一次调整到位。</w:t>
      </w:r>
    </w:p>
    <w:p>
      <w:pPr>
        <w:pStyle w:val="3"/>
        <w:spacing w:before="2" w:line="364" w:lineRule="auto"/>
        <w:ind w:right="1797" w:firstLine="480"/>
        <w:jc w:val="both"/>
      </w:pPr>
      <w:r>
        <w:rPr>
          <w:spacing w:val="-8"/>
        </w:rPr>
        <w:t xml:space="preserve">企业在对外投资 </w:t>
      </w:r>
      <w:r>
        <w:rPr>
          <w:rFonts w:ascii="Calibri" w:eastAsia="Calibri"/>
        </w:rPr>
        <w:t xml:space="preserve">5 </w:t>
      </w:r>
      <w:r>
        <w:rPr>
          <w:spacing w:val="-11"/>
        </w:rPr>
        <w:t>年内注销的，应停止执行递延纳税政策，并就递延期内尚</w:t>
      </w:r>
      <w:r>
        <w:rPr>
          <w:spacing w:val="-7"/>
        </w:rPr>
        <w:t>未确认的非货币性资产转让所得，在注销当年的企业所得税年度汇算清缴时，一</w:t>
      </w:r>
      <w:r>
        <w:t>次性计算缴纳企业所得税。</w:t>
      </w:r>
    </w:p>
    <w:p>
      <w:pPr>
        <w:pStyle w:val="3"/>
        <w:spacing w:line="364" w:lineRule="auto"/>
        <w:ind w:right="1797" w:firstLine="480"/>
      </w:pPr>
      <w:r>
        <w:rPr>
          <w:spacing w:val="-11"/>
        </w:rPr>
        <w:t>五、本通知所称非货币性资产，是指现金、银行存款、应收账款、应收票据</w:t>
      </w:r>
      <w:r>
        <w:t>以及准备持有至到期的债券投资等货币性资产以外的资产。</w:t>
      </w:r>
    </w:p>
    <w:p>
      <w:pPr>
        <w:pStyle w:val="3"/>
        <w:spacing w:before="2" w:line="364" w:lineRule="auto"/>
        <w:ind w:right="1800" w:firstLine="487"/>
      </w:pPr>
      <w:r>
        <w:t>本通知所称非货币性资产投资，限于以非货币性资产出资设立新的居民企业，或将非货币性资产注入现存的居民企业。</w:t>
      </w:r>
    </w:p>
    <w:p>
      <w:pPr>
        <w:pStyle w:val="3"/>
        <w:spacing w:line="364" w:lineRule="auto"/>
        <w:ind w:right="1795" w:firstLine="480"/>
        <w:jc w:val="both"/>
      </w:pPr>
      <w:r>
        <w:pict>
          <v:shape id="_x0000_s1116" o:spid="_x0000_s1116" o:spt="136" type="#_x0000_t136" style="position:absolute;left:0pt;margin-left:41.25pt;margin-top:39.65pt;height:132pt;width:528.05pt;mso-position-horizontal-relative:page;rotation:20643840f;z-index:-251564032;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t>六、企业发生非货币性资产投资，符合《财政部 国家税务总局关于企业重组业务企业所得税处理若干问题的通知》（财税〔</w:t>
      </w:r>
      <w:r>
        <w:rPr>
          <w:rFonts w:ascii="Calibri" w:eastAsia="Calibri"/>
        </w:rPr>
        <w:t>2009</w:t>
      </w:r>
      <w:r>
        <w:t>〕</w:t>
      </w:r>
      <w:r>
        <w:rPr>
          <w:rFonts w:ascii="Calibri" w:eastAsia="Calibri"/>
        </w:rPr>
        <w:t xml:space="preserve">59 </w:t>
      </w:r>
      <w:r>
        <w:t>号）等文件规定的特殊性税务处理条件的，也可选择按特殊性税务处理规定执行。</w:t>
      </w:r>
    </w:p>
    <w:p>
      <w:pPr>
        <w:pStyle w:val="3"/>
        <w:spacing w:before="2" w:line="364" w:lineRule="auto"/>
        <w:ind w:right="1795" w:firstLine="480"/>
        <w:jc w:val="both"/>
      </w:pPr>
      <w:r>
        <w:rPr>
          <w:spacing w:val="-8"/>
        </w:rPr>
        <w:t xml:space="preserve">七、本通知自 </w:t>
      </w:r>
      <w:r>
        <w:rPr>
          <w:rFonts w:ascii="Calibri" w:eastAsia="Calibri"/>
        </w:rPr>
        <w:t xml:space="preserve">2014 </w:t>
      </w:r>
      <w:r>
        <w:rPr>
          <w:spacing w:val="-29"/>
        </w:rPr>
        <w:t xml:space="preserve">年 </w:t>
      </w:r>
      <w:r>
        <w:rPr>
          <w:rFonts w:ascii="Calibri" w:eastAsia="Calibri"/>
        </w:rPr>
        <w:t xml:space="preserve">1 </w:t>
      </w:r>
      <w:r>
        <w:rPr>
          <w:spacing w:val="-29"/>
        </w:rPr>
        <w:t xml:space="preserve">月 </w:t>
      </w:r>
      <w:r>
        <w:rPr>
          <w:rFonts w:ascii="Calibri" w:eastAsia="Calibri"/>
        </w:rPr>
        <w:t xml:space="preserve">1 </w:t>
      </w:r>
      <w:r>
        <w:rPr>
          <w:spacing w:val="-1"/>
        </w:rPr>
        <w:t>日起执行。本通知发布前尚未处理的非货币性</w:t>
      </w:r>
      <w:r>
        <w:t>资产投资，符合本通知规定的可按本通知执行。</w:t>
      </w:r>
    </w:p>
    <w:p>
      <w:pPr>
        <w:pStyle w:val="8"/>
        <w:numPr>
          <w:ilvl w:val="0"/>
          <w:numId w:val="90"/>
        </w:numPr>
        <w:tabs>
          <w:tab w:val="left" w:pos="2484"/>
        </w:tabs>
        <w:spacing w:before="182" w:after="0" w:line="338" w:lineRule="auto"/>
        <w:ind w:left="1800" w:right="1797" w:firstLine="480"/>
        <w:jc w:val="left"/>
        <w:outlineLvl w:val="2"/>
        <w:rPr>
          <w:rFonts w:hint="eastAsia" w:ascii="微软雅黑" w:eastAsia="微软雅黑"/>
        </w:rPr>
      </w:pPr>
      <w:bookmarkStart w:id="44" w:name="_bookmark24"/>
      <w:bookmarkEnd w:id="44"/>
      <w:bookmarkStart w:id="45" w:name="_bookmark24"/>
      <w:bookmarkEnd w:id="45"/>
      <w:r>
        <w:rPr>
          <w:color w:val="333333"/>
          <w:spacing w:val="3"/>
          <w:sz w:val="24"/>
        </w:rPr>
        <w:t>《国家税务总局关于非货币性资产投资企业所得税有关征管问题的公告》</w:t>
      </w:r>
      <w:r>
        <w:rPr>
          <w:rFonts w:hint="eastAsia" w:ascii="微软雅黑" w:eastAsia="微软雅黑"/>
          <w:color w:val="333333"/>
        </w:rPr>
        <w:t>（国家税务总局公告 2015 年第 33 号）</w:t>
      </w:r>
    </w:p>
    <w:p>
      <w:pPr>
        <w:pStyle w:val="3"/>
        <w:spacing w:before="172" w:line="364" w:lineRule="auto"/>
        <w:ind w:right="1790" w:firstLine="480"/>
        <w:jc w:val="both"/>
      </w:pPr>
      <w:r>
        <w:rPr>
          <w:spacing w:val="-3"/>
        </w:rPr>
        <w:t>《国务院关于进一步优化企业兼并重组市场环境的意见》</w:t>
      </w:r>
      <w:r>
        <w:t>（</w:t>
      </w:r>
      <w:r>
        <w:rPr>
          <w:spacing w:val="-10"/>
        </w:rPr>
        <w:t>国发〔</w:t>
      </w:r>
      <w:r>
        <w:rPr>
          <w:rFonts w:ascii="Calibri" w:eastAsia="Calibri"/>
        </w:rPr>
        <w:t>2014</w:t>
      </w:r>
      <w:r>
        <w:rPr>
          <w:spacing w:val="-27"/>
        </w:rPr>
        <w:t>〕</w:t>
      </w:r>
      <w:r>
        <w:rPr>
          <w:rFonts w:ascii="Calibri" w:eastAsia="Calibri"/>
        </w:rPr>
        <w:t xml:space="preserve">14 </w:t>
      </w:r>
      <w:r>
        <w:t>号）和《财政部 国家税务总局关于非货币性资产投资企业所得税政策问题的通</w:t>
      </w:r>
      <w:r>
        <w:rPr>
          <w:spacing w:val="-8"/>
        </w:rPr>
        <w:t>知》</w:t>
      </w:r>
      <w:r>
        <w:t>（</w:t>
      </w:r>
      <w:r>
        <w:rPr>
          <w:spacing w:val="-3"/>
        </w:rPr>
        <w:t>财税〔</w:t>
      </w:r>
      <w:r>
        <w:rPr>
          <w:rFonts w:ascii="Calibri" w:eastAsia="Calibri"/>
        </w:rPr>
        <w:t>2014</w:t>
      </w:r>
      <w:r>
        <w:rPr>
          <w:spacing w:val="-10"/>
        </w:rPr>
        <w:t>〕</w:t>
      </w:r>
      <w:r>
        <w:rPr>
          <w:rFonts w:ascii="Calibri" w:eastAsia="Calibri"/>
        </w:rPr>
        <w:t xml:space="preserve">116 </w:t>
      </w:r>
      <w:r>
        <w:t>号</w:t>
      </w:r>
      <w:r>
        <w:rPr>
          <w:spacing w:val="-8"/>
        </w:rPr>
        <w:t>）</w:t>
      </w:r>
      <w:r>
        <w:rPr>
          <w:spacing w:val="-2"/>
        </w:rPr>
        <w:t>发布后，各地陆续反映在非货币性资产投资企业所</w:t>
      </w:r>
      <w:r>
        <w:rPr>
          <w:spacing w:val="-8"/>
        </w:rPr>
        <w:t>得税政策执行过程中有些征管问题亟需明确。经研究，现就非货币性资产投资企</w:t>
      </w:r>
      <w:r>
        <w:t>业所得税有关征管问题公告如下：</w:t>
      </w:r>
    </w:p>
    <w:p>
      <w:pPr>
        <w:pStyle w:val="3"/>
        <w:spacing w:before="3" w:line="364" w:lineRule="auto"/>
        <w:ind w:right="1797" w:firstLine="480"/>
        <w:jc w:val="both"/>
      </w:pPr>
      <w:r>
        <w:rPr>
          <w:spacing w:val="-8"/>
        </w:rPr>
        <w:t>一、实行查账征收的居民企业</w:t>
      </w:r>
      <w:r>
        <w:t>（以下简称企业</w:t>
      </w:r>
      <w:r>
        <w:rPr>
          <w:spacing w:val="-32"/>
        </w:rPr>
        <w:t>）</w:t>
      </w:r>
      <w:r>
        <w:rPr>
          <w:spacing w:val="-2"/>
        </w:rPr>
        <w:t>以非货币性资产对外投资确</w:t>
      </w:r>
      <w:r>
        <w:rPr>
          <w:spacing w:val="-9"/>
        </w:rPr>
        <w:t>认的非货币性资产转让所得，可自确认非货币性资产转让收入年度起不超过连续</w:t>
      </w:r>
      <w:r>
        <w:rPr>
          <w:rFonts w:ascii="Calibri" w:eastAsia="Calibri"/>
        </w:rPr>
        <w:t>5</w:t>
      </w:r>
      <w:r>
        <w:rPr>
          <w:rFonts w:ascii="Calibri" w:eastAsia="Calibri"/>
          <w:spacing w:val="4"/>
        </w:rPr>
        <w:t xml:space="preserve"> </w:t>
      </w:r>
      <w:r>
        <w:rPr>
          <w:spacing w:val="-4"/>
        </w:rPr>
        <w:t>个纳税年度的期间内，分期均匀计入相应年度的应纳税所得额，按规定计算缴</w:t>
      </w:r>
      <w:r>
        <w:t>纳企业所得税。</w:t>
      </w:r>
    </w:p>
    <w:p>
      <w:pPr>
        <w:pStyle w:val="3"/>
        <w:spacing w:before="2" w:line="364" w:lineRule="auto"/>
        <w:ind w:right="1797" w:firstLine="480"/>
        <w:jc w:val="both"/>
      </w:pPr>
      <w:r>
        <w:rPr>
          <w:spacing w:val="-2"/>
        </w:rPr>
        <w:t xml:space="preserve">二、关联企业之间发生的非货币性资产投资行为，投资协议生效后 </w:t>
      </w:r>
      <w:r>
        <w:rPr>
          <w:rFonts w:ascii="Calibri" w:eastAsia="Calibri"/>
        </w:rPr>
        <w:t xml:space="preserve">12 </w:t>
      </w:r>
      <w:r>
        <w:rPr>
          <w:spacing w:val="-7"/>
        </w:rPr>
        <w:t>个月内尚未完成股权变更登记手续的，于投资协议生效时，确认非货币性资产转让收</w:t>
      </w:r>
    </w:p>
    <w:p>
      <w:pPr>
        <w:spacing w:after="0" w:line="364" w:lineRule="auto"/>
        <w:jc w:val="both"/>
        <w:sectPr>
          <w:pgSz w:w="11910" w:h="16840"/>
          <w:pgMar w:top="1540" w:right="0" w:bottom="1380" w:left="0" w:header="965" w:footer="1182" w:gutter="0"/>
          <w:cols w:space="720" w:num="1"/>
        </w:sectPr>
      </w:pPr>
    </w:p>
    <w:p>
      <w:pPr>
        <w:pStyle w:val="3"/>
        <w:spacing w:before="2"/>
        <w:ind w:left="0"/>
        <w:rPr>
          <w:sz w:val="12"/>
        </w:rPr>
      </w:pPr>
    </w:p>
    <w:p>
      <w:pPr>
        <w:pStyle w:val="3"/>
        <w:spacing w:before="67"/>
      </w:pPr>
      <w:r>
        <w:t>入的实现。</w:t>
      </w:r>
    </w:p>
    <w:p>
      <w:pPr>
        <w:pStyle w:val="3"/>
        <w:spacing w:before="160" w:line="364" w:lineRule="auto"/>
        <w:ind w:right="1790" w:firstLine="480"/>
        <w:jc w:val="both"/>
      </w:pPr>
      <w:r>
        <w:rPr>
          <w:spacing w:val="-5"/>
        </w:rPr>
        <w:t>三、符合财税〔</w:t>
      </w:r>
      <w:r>
        <w:rPr>
          <w:rFonts w:ascii="Calibri" w:eastAsia="Calibri"/>
        </w:rPr>
        <w:t>2014</w:t>
      </w:r>
      <w:r>
        <w:rPr>
          <w:spacing w:val="-12"/>
        </w:rPr>
        <w:t>〕</w:t>
      </w:r>
      <w:r>
        <w:rPr>
          <w:rFonts w:ascii="Calibri" w:eastAsia="Calibri"/>
        </w:rPr>
        <w:t xml:space="preserve">116 </w:t>
      </w:r>
      <w:r>
        <w:rPr>
          <w:spacing w:val="-1"/>
        </w:rPr>
        <w:t>号文件规定的企业非货币性资产投资行为，同时</w:t>
      </w:r>
      <w:r>
        <w:t>又符合《财政部 国家税务总局关于企业重组业务企业所得税处理若干问题的通</w:t>
      </w:r>
      <w:r>
        <w:rPr>
          <w:spacing w:val="-6"/>
        </w:rPr>
        <w:t>知》</w:t>
      </w:r>
      <w:r>
        <w:t>（</w:t>
      </w:r>
      <w:r>
        <w:rPr>
          <w:spacing w:val="-3"/>
        </w:rPr>
        <w:t>财税〔</w:t>
      </w:r>
      <w:r>
        <w:rPr>
          <w:rFonts w:ascii="Calibri" w:eastAsia="Calibri"/>
        </w:rPr>
        <w:t>2009</w:t>
      </w:r>
      <w:r>
        <w:rPr>
          <w:spacing w:val="-5"/>
        </w:rPr>
        <w:t>〕</w:t>
      </w:r>
      <w:r>
        <w:rPr>
          <w:rFonts w:ascii="Calibri" w:eastAsia="Calibri"/>
        </w:rPr>
        <w:t xml:space="preserve">59 </w:t>
      </w:r>
      <w:r>
        <w:t>号</w:t>
      </w:r>
      <w:r>
        <w:rPr>
          <w:spacing w:val="-8"/>
        </w:rPr>
        <w:t>）</w:t>
      </w:r>
      <w:r>
        <w:rPr>
          <w:spacing w:val="-4"/>
        </w:rPr>
        <w:t>、《财政部 国家税务总局关于促进企业重组有关企</w:t>
      </w:r>
      <w:r>
        <w:rPr>
          <w:spacing w:val="-2"/>
        </w:rPr>
        <w:t>业所得税处理问题的通知》</w:t>
      </w:r>
      <w:r>
        <w:t>（</w:t>
      </w:r>
      <w:r>
        <w:rPr>
          <w:spacing w:val="-4"/>
        </w:rPr>
        <w:t>财税〔</w:t>
      </w:r>
      <w:r>
        <w:rPr>
          <w:rFonts w:ascii="Calibri" w:eastAsia="Calibri"/>
        </w:rPr>
        <w:t>2014</w:t>
      </w:r>
      <w:r>
        <w:rPr>
          <w:spacing w:val="-8"/>
        </w:rPr>
        <w:t>〕</w:t>
      </w:r>
      <w:r>
        <w:rPr>
          <w:rFonts w:ascii="Calibri" w:eastAsia="Calibri"/>
        </w:rPr>
        <w:t xml:space="preserve">109 </w:t>
      </w:r>
      <w:r>
        <w:t>号</w:t>
      </w:r>
      <w:r>
        <w:rPr>
          <w:spacing w:val="-10"/>
        </w:rPr>
        <w:t>）</w:t>
      </w:r>
      <w:r>
        <w:rPr>
          <w:spacing w:val="-1"/>
        </w:rPr>
        <w:t>等文件规定的特殊性税务处</w:t>
      </w:r>
      <w:r>
        <w:t>理条件的，可由企业选择其中一项政策执行，且一经选择，不得改变。</w:t>
      </w:r>
    </w:p>
    <w:p>
      <w:pPr>
        <w:pStyle w:val="3"/>
        <w:spacing w:before="3" w:line="364" w:lineRule="auto"/>
        <w:ind w:right="1788" w:firstLine="480"/>
        <w:jc w:val="both"/>
      </w:pPr>
      <w:r>
        <w:rPr>
          <w:spacing w:val="-9"/>
        </w:rPr>
        <w:t>四、企业选择适用本公告第一条规定进行税务处理的，应在非货币性资产转</w:t>
      </w:r>
      <w:r>
        <w:rPr>
          <w:spacing w:val="-13"/>
        </w:rPr>
        <w:t>让所得递延确认期间每年企业所得税汇算清缴时，填报《中华人民共和国企业所得税年度纳税申报表》（</w:t>
      </w:r>
      <w:r>
        <w:rPr>
          <w:rFonts w:ascii="Calibri" w:hAnsi="Calibri" w:eastAsia="Calibri"/>
          <w:spacing w:val="-13"/>
        </w:rPr>
        <w:t xml:space="preserve">A </w:t>
      </w:r>
      <w:r>
        <w:t>类，</w:t>
      </w:r>
      <w:r>
        <w:rPr>
          <w:rFonts w:ascii="Calibri" w:hAnsi="Calibri" w:eastAsia="Calibri"/>
        </w:rPr>
        <w:t xml:space="preserve">2014 </w:t>
      </w:r>
      <w:r>
        <w:t>年版）中</w:t>
      </w:r>
      <w:r>
        <w:rPr>
          <w:rFonts w:ascii="Calibri" w:hAnsi="Calibri" w:eastAsia="Calibri"/>
          <w:spacing w:val="-3"/>
        </w:rPr>
        <w:t xml:space="preserve">“A105100 </w:t>
      </w:r>
      <w:r>
        <w:t>企业重组纳税调整明细表</w:t>
      </w:r>
      <w:r>
        <w:rPr>
          <w:rFonts w:ascii="Calibri" w:hAnsi="Calibri" w:eastAsia="Calibri"/>
        </w:rPr>
        <w:t>”</w:t>
      </w:r>
      <w:r>
        <w:rPr>
          <w:spacing w:val="-30"/>
        </w:rPr>
        <w:t xml:space="preserve">第 </w:t>
      </w:r>
      <w:r>
        <w:rPr>
          <w:rFonts w:ascii="Calibri" w:hAnsi="Calibri" w:eastAsia="Calibri"/>
        </w:rPr>
        <w:t xml:space="preserve">13 </w:t>
      </w:r>
      <w:r>
        <w:t>行</w:t>
      </w:r>
      <w:r>
        <w:rPr>
          <w:rFonts w:ascii="Calibri" w:hAnsi="Calibri" w:eastAsia="Calibri"/>
        </w:rPr>
        <w:t>“</w:t>
      </w:r>
      <w:r>
        <w:rPr>
          <w:spacing w:val="-5"/>
        </w:rPr>
        <w:t>其中：以非货币性资产对外投资</w:t>
      </w:r>
      <w:r>
        <w:rPr>
          <w:rFonts w:ascii="Calibri" w:hAnsi="Calibri" w:eastAsia="Calibri"/>
        </w:rPr>
        <w:t>”</w:t>
      </w:r>
      <w:r>
        <w:rPr>
          <w:spacing w:val="-4"/>
        </w:rPr>
        <w:t>的相关栏目，并向主管税务机关报送《非货币性资产投资递延纳税调整明细表》（详见附件）。</w:t>
      </w:r>
    </w:p>
    <w:p>
      <w:pPr>
        <w:pStyle w:val="3"/>
        <w:spacing w:before="3" w:line="364" w:lineRule="auto"/>
        <w:ind w:right="1797" w:firstLine="480"/>
        <w:jc w:val="both"/>
      </w:pPr>
      <w:r>
        <w:pict>
          <v:shape id="_x0000_s1117" o:spid="_x0000_s1117" o:spt="136" type="#_x0000_t136" style="position:absolute;left:0pt;margin-left:41.25pt;margin-top:16.35pt;height:132pt;width:528.05pt;mso-position-horizontal-relative:page;rotation:20643840f;z-index:-251563008;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spacing w:val="-8"/>
        </w:rPr>
        <w:t>五、企业应将股权投资合同或协议、对外投资的非货币性资产</w:t>
      </w:r>
      <w:r>
        <w:t>（明细</w:t>
      </w:r>
      <w:r>
        <w:rPr>
          <w:spacing w:val="-25"/>
        </w:rPr>
        <w:t>）</w:t>
      </w:r>
      <w:r>
        <w:rPr>
          <w:spacing w:val="-8"/>
        </w:rPr>
        <w:t>公允</w:t>
      </w:r>
      <w:r>
        <w:rPr>
          <w:spacing w:val="-5"/>
        </w:rPr>
        <w:t>价值评估确认报告、非货币性资产</w:t>
      </w:r>
      <w:r>
        <w:rPr>
          <w:spacing w:val="-3"/>
        </w:rPr>
        <w:t>（</w:t>
      </w:r>
      <w:r>
        <w:t>明细</w:t>
      </w:r>
      <w:r>
        <w:rPr>
          <w:spacing w:val="-24"/>
        </w:rPr>
        <w:t>）</w:t>
      </w:r>
      <w:r>
        <w:rPr>
          <w:spacing w:val="-4"/>
        </w:rPr>
        <w:t>计税基础的情况说明、被投资企业设</w:t>
      </w:r>
      <w:r>
        <w:rPr>
          <w:spacing w:val="-6"/>
        </w:rPr>
        <w:t>立或变更的工商部门证明材料等资料留存备查，并单独准确核算税法与会计差异</w:t>
      </w:r>
      <w:r>
        <w:t>情况。</w:t>
      </w:r>
    </w:p>
    <w:p>
      <w:pPr>
        <w:pStyle w:val="3"/>
        <w:spacing w:before="3"/>
        <w:ind w:left="2280"/>
      </w:pPr>
      <w:r>
        <w:t>主管税务机关应加强企业非货币性资产投资递延纳税的后续管理。</w:t>
      </w:r>
    </w:p>
    <w:p>
      <w:pPr>
        <w:pStyle w:val="3"/>
        <w:spacing w:before="160" w:line="364" w:lineRule="auto"/>
        <w:ind w:right="1792" w:firstLine="480"/>
        <w:jc w:val="both"/>
      </w:pPr>
      <w:r>
        <w:rPr>
          <w:spacing w:val="-6"/>
        </w:rPr>
        <w:t xml:space="preserve">六、本公告适用于 </w:t>
      </w:r>
      <w:r>
        <w:rPr>
          <w:rFonts w:ascii="Calibri" w:eastAsia="Calibri"/>
        </w:rPr>
        <w:t xml:space="preserve">2014 </w:t>
      </w:r>
      <w:r>
        <w:t>年度及以后年度企业所得税汇算清缴。此前尚未处</w:t>
      </w:r>
      <w:r>
        <w:rPr>
          <w:spacing w:val="-3"/>
        </w:rPr>
        <w:t>理的非货币性资产投资，符合财税〔</w:t>
      </w:r>
      <w:r>
        <w:rPr>
          <w:rFonts w:ascii="Calibri" w:eastAsia="Calibri"/>
        </w:rPr>
        <w:t>2014</w:t>
      </w:r>
      <w:r>
        <w:rPr>
          <w:spacing w:val="-15"/>
        </w:rPr>
        <w:t>〕</w:t>
      </w:r>
      <w:r>
        <w:rPr>
          <w:rFonts w:ascii="Calibri" w:eastAsia="Calibri"/>
        </w:rPr>
        <w:t xml:space="preserve">116 </w:t>
      </w:r>
      <w:r>
        <w:rPr>
          <w:spacing w:val="-1"/>
        </w:rPr>
        <w:t>号文件和本公告规定的可按本公</w:t>
      </w:r>
      <w:r>
        <w:t>告执行。</w:t>
      </w:r>
    </w:p>
    <w:p>
      <w:pPr>
        <w:pStyle w:val="3"/>
        <w:spacing w:before="2"/>
        <w:ind w:left="2280"/>
      </w:pPr>
      <w:r>
        <w:t>特此公告。</w:t>
      </w:r>
    </w:p>
    <w:p>
      <w:pPr>
        <w:spacing w:before="170"/>
        <w:ind w:left="2280" w:right="0" w:firstLine="0"/>
        <w:jc w:val="left"/>
        <w:outlineLvl w:val="1"/>
        <w:rPr>
          <w:rFonts w:hint="eastAsia" w:ascii="微软雅黑" w:eastAsia="微软雅黑"/>
          <w:b/>
          <w:sz w:val="24"/>
        </w:rPr>
      </w:pPr>
      <w:r>
        <w:rPr>
          <w:rFonts w:hint="eastAsia" w:ascii="微软雅黑" w:eastAsia="微软雅黑"/>
          <w:b/>
          <w:color w:val="333333"/>
          <w:sz w:val="24"/>
        </w:rPr>
        <w:t>【政策依据】技术成果投资入股</w:t>
      </w:r>
    </w:p>
    <w:p>
      <w:pPr>
        <w:pStyle w:val="3"/>
        <w:spacing w:before="182" w:line="338" w:lineRule="auto"/>
        <w:ind w:right="1795" w:firstLine="480"/>
        <w:outlineLvl w:val="2"/>
        <w:rPr>
          <w:rFonts w:hint="eastAsia" w:ascii="微软雅黑" w:eastAsia="微软雅黑"/>
        </w:rPr>
      </w:pPr>
      <w:r>
        <w:rPr>
          <w:rFonts w:hint="eastAsia" w:ascii="微软雅黑" w:eastAsia="微软雅黑"/>
          <w:color w:val="333333"/>
          <w:spacing w:val="-27"/>
        </w:rPr>
        <w:t>1</w:t>
      </w:r>
      <w:r>
        <w:rPr>
          <w:rFonts w:hint="eastAsia" w:ascii="微软雅黑" w:eastAsia="微软雅黑"/>
          <w:color w:val="333333"/>
          <w:spacing w:val="-7"/>
        </w:rPr>
        <w:t>.《财政部国家税务总局关于完善股权激励和技术入股有关所得税政策的通</w:t>
      </w:r>
      <w:r>
        <w:rPr>
          <w:rFonts w:hint="eastAsia" w:ascii="微软雅黑" w:eastAsia="微软雅黑"/>
          <w:color w:val="333333"/>
        </w:rPr>
        <w:t>知》（财税〔2016〕101</w:t>
      </w:r>
      <w:r>
        <w:rPr>
          <w:rFonts w:hint="eastAsia" w:ascii="微软雅黑" w:eastAsia="微软雅黑"/>
          <w:color w:val="333333"/>
          <w:spacing w:val="-7"/>
        </w:rPr>
        <w:t xml:space="preserve"> 号</w:t>
      </w:r>
      <w:r>
        <w:rPr>
          <w:rFonts w:hint="eastAsia" w:ascii="微软雅黑" w:eastAsia="微软雅黑"/>
          <w:color w:val="333333"/>
        </w:rPr>
        <w:t>）</w:t>
      </w:r>
    </w:p>
    <w:p>
      <w:pPr>
        <w:pStyle w:val="3"/>
        <w:spacing w:before="0" w:line="364" w:lineRule="auto"/>
        <w:ind w:right="1801" w:firstLine="480"/>
      </w:pPr>
      <w:r>
        <w:rPr>
          <w:spacing w:val="-8"/>
        </w:rPr>
        <w:t>各省、自治区、直辖市、计划单列市财政厅</w:t>
      </w:r>
      <w:r>
        <w:t>（局</w:t>
      </w:r>
      <w:r>
        <w:rPr>
          <w:spacing w:val="-12"/>
        </w:rPr>
        <w:t>）</w:t>
      </w:r>
      <w:r>
        <w:rPr>
          <w:spacing w:val="-7"/>
        </w:rPr>
        <w:t>、国家税务局、地方税务</w:t>
      </w:r>
      <w:r>
        <w:t>局，新疆生产建设兵团财务局：</w:t>
      </w:r>
    </w:p>
    <w:p>
      <w:pPr>
        <w:pStyle w:val="3"/>
        <w:spacing w:before="0" w:line="364" w:lineRule="auto"/>
        <w:ind w:right="1705" w:firstLine="480"/>
      </w:pPr>
      <w:r>
        <w:t>为支持国家大众创业、万众创新战略的实施，促进我国经济结构转型升级， 经国务院批准，现就完善股权激励和技术入股有关所得税政策通知如下：</w:t>
      </w:r>
    </w:p>
    <w:p>
      <w:pPr>
        <w:spacing w:before="0"/>
        <w:ind w:left="2280" w:right="0" w:firstLine="0"/>
        <w:jc w:val="left"/>
        <w:rPr>
          <w:b/>
          <w:sz w:val="24"/>
        </w:rPr>
      </w:pPr>
      <w:r>
        <w:rPr>
          <w:b/>
          <w:sz w:val="24"/>
        </w:rPr>
        <w:t>一、对符合条件的非上市公司股票期权、股权期权、限制性股票和股权奖</w:t>
      </w:r>
    </w:p>
    <w:p>
      <w:pPr>
        <w:spacing w:after="0"/>
        <w:jc w:val="left"/>
        <w:rPr>
          <w:sz w:val="24"/>
        </w:rPr>
        <w:sectPr>
          <w:pgSz w:w="11910" w:h="16840"/>
          <w:pgMar w:top="1540" w:right="0" w:bottom="1380" w:left="0" w:header="965" w:footer="1182" w:gutter="0"/>
          <w:cols w:space="720" w:num="1"/>
        </w:sectPr>
      </w:pPr>
    </w:p>
    <w:p>
      <w:pPr>
        <w:pStyle w:val="3"/>
        <w:spacing w:before="2"/>
        <w:ind w:left="0"/>
        <w:rPr>
          <w:b/>
          <w:sz w:val="12"/>
        </w:rPr>
      </w:pPr>
    </w:p>
    <w:p>
      <w:pPr>
        <w:spacing w:before="67"/>
        <w:ind w:left="1800" w:right="0" w:firstLine="0"/>
        <w:jc w:val="left"/>
        <w:rPr>
          <w:b/>
          <w:sz w:val="24"/>
        </w:rPr>
      </w:pPr>
      <w:r>
        <w:rPr>
          <w:b/>
          <w:sz w:val="24"/>
        </w:rPr>
        <w:t>励实行递延纳税政策</w:t>
      </w:r>
    </w:p>
    <w:p>
      <w:pPr>
        <w:pStyle w:val="3"/>
        <w:spacing w:before="160" w:line="364" w:lineRule="auto"/>
        <w:ind w:right="1797" w:firstLine="480"/>
      </w:pPr>
      <w:r>
        <w:t>（一</w:t>
      </w:r>
      <w:r>
        <w:rPr>
          <w:spacing w:val="-32"/>
        </w:rPr>
        <w:t>）</w:t>
      </w:r>
      <w:r>
        <w:rPr>
          <w:spacing w:val="-5"/>
        </w:rPr>
        <w:t>非上市公司授予本公司员工的股票期权、股权期权、限制性股票和股</w:t>
      </w:r>
      <w:r>
        <w:rPr>
          <w:spacing w:val="-10"/>
        </w:rPr>
        <w:t>权奖励，符合规定条件的，经向主管税务机关备案，可实行递延纳税政策，即员</w:t>
      </w:r>
      <w:r>
        <w:rPr>
          <w:spacing w:val="-7"/>
        </w:rPr>
        <w:t>工在取得股权激励时可暂不纳税，递延至转让该股权时纳税；股权转让时，按照</w:t>
      </w:r>
      <w:r>
        <w:t>股权转让收入减除股权取得成本以及合理税费后的差额，适用</w:t>
      </w:r>
      <w:r>
        <w:rPr>
          <w:rFonts w:ascii="Calibri" w:hAnsi="Calibri" w:eastAsia="Calibri"/>
        </w:rPr>
        <w:t>“</w:t>
      </w:r>
      <w:r>
        <w:t>财产转让所得</w:t>
      </w:r>
      <w:r>
        <w:rPr>
          <w:rFonts w:ascii="Calibri" w:hAnsi="Calibri" w:eastAsia="Calibri"/>
        </w:rPr>
        <w:t xml:space="preserve">” </w:t>
      </w:r>
      <w:r>
        <w:rPr>
          <w:spacing w:val="-11"/>
        </w:rPr>
        <w:t xml:space="preserve">项目，按照 </w:t>
      </w:r>
      <w:r>
        <w:rPr>
          <w:rFonts w:ascii="Calibri" w:hAnsi="Calibri" w:eastAsia="Calibri"/>
        </w:rPr>
        <w:t>20%</w:t>
      </w:r>
      <w:r>
        <w:t>的税率计算缴纳个人所得税。</w:t>
      </w:r>
    </w:p>
    <w:p>
      <w:pPr>
        <w:pStyle w:val="3"/>
        <w:spacing w:before="3" w:line="364" w:lineRule="auto"/>
        <w:ind w:left="1799" w:right="1797" w:firstLine="480"/>
      </w:pPr>
      <w:r>
        <w:rPr>
          <w:spacing w:val="-7"/>
        </w:rPr>
        <w:t>股权转让时，股票</w:t>
      </w:r>
      <w:r>
        <w:t>（权</w:t>
      </w:r>
      <w:r>
        <w:rPr>
          <w:spacing w:val="-24"/>
        </w:rPr>
        <w:t>）</w:t>
      </w:r>
      <w:r>
        <w:rPr>
          <w:spacing w:val="-3"/>
        </w:rPr>
        <w:t>期权取得成本按行权价确定，限制性股票取得成本</w:t>
      </w:r>
      <w:r>
        <w:t>按实际出资额确定，股权奖励取得成本为零。</w:t>
      </w:r>
    </w:p>
    <w:p>
      <w:pPr>
        <w:pStyle w:val="3"/>
        <w:spacing w:before="2" w:line="364" w:lineRule="auto"/>
        <w:ind w:left="1799" w:right="1677" w:firstLine="480"/>
      </w:pPr>
      <w:r>
        <w:t>（二</w:t>
      </w:r>
      <w:r>
        <w:rPr>
          <w:spacing w:val="-72"/>
        </w:rPr>
        <w:t>）</w:t>
      </w:r>
      <w:r>
        <w:rPr>
          <w:spacing w:val="-4"/>
        </w:rPr>
        <w:t>享受递延纳税政策的非上市公司股权激励</w:t>
      </w:r>
      <w:r>
        <w:t>（</w:t>
      </w:r>
      <w:r>
        <w:rPr>
          <w:spacing w:val="-9"/>
        </w:rPr>
        <w:t>包括股票期权、股权期权、</w:t>
      </w:r>
      <w:r>
        <w:t>限制性股票和股权奖励，下同）须同时满足以下条件：</w:t>
      </w:r>
    </w:p>
    <w:p>
      <w:pPr>
        <w:pStyle w:val="8"/>
        <w:numPr>
          <w:ilvl w:val="0"/>
          <w:numId w:val="91"/>
        </w:numPr>
        <w:tabs>
          <w:tab w:val="left" w:pos="2464"/>
        </w:tabs>
        <w:spacing w:before="1" w:after="0" w:line="240" w:lineRule="auto"/>
        <w:ind w:left="2463" w:right="0" w:hanging="185"/>
        <w:jc w:val="left"/>
        <w:rPr>
          <w:rFonts w:hint="eastAsia" w:ascii="宋体" w:eastAsia="宋体"/>
          <w:sz w:val="24"/>
        </w:rPr>
      </w:pPr>
      <w:r>
        <w:rPr>
          <w:rFonts w:hint="eastAsia" w:ascii="宋体" w:eastAsia="宋体"/>
          <w:sz w:val="24"/>
        </w:rPr>
        <w:t>属于境内居民企业的股权激励计划。</w:t>
      </w:r>
    </w:p>
    <w:p>
      <w:pPr>
        <w:pStyle w:val="8"/>
        <w:numPr>
          <w:ilvl w:val="0"/>
          <w:numId w:val="91"/>
        </w:numPr>
        <w:tabs>
          <w:tab w:val="left" w:pos="2464"/>
        </w:tabs>
        <w:spacing w:before="160" w:after="0" w:line="364" w:lineRule="auto"/>
        <w:ind w:left="1800" w:right="1705" w:firstLine="480"/>
        <w:jc w:val="left"/>
        <w:rPr>
          <w:rFonts w:hint="eastAsia" w:ascii="宋体" w:eastAsia="宋体"/>
          <w:sz w:val="24"/>
        </w:rPr>
      </w:pPr>
      <w:r>
        <w:pict>
          <v:shape id="_x0000_s1118" o:spid="_x0000_s1118" o:spt="136" type="#_x0000_t136" style="position:absolute;left:0pt;margin-left:41.25pt;margin-top:24.2pt;height:132pt;width:528.05pt;mso-position-horizontal-relative:page;rotation:20643840f;z-index:-251561984;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宋体" w:eastAsia="宋体"/>
          <w:spacing w:val="-2"/>
          <w:sz w:val="24"/>
        </w:rPr>
        <w:t>股权激励计划经公司董事会、股东</w:t>
      </w:r>
      <w:r>
        <w:rPr>
          <w:rFonts w:hint="eastAsia" w:ascii="宋体" w:eastAsia="宋体"/>
          <w:sz w:val="24"/>
        </w:rPr>
        <w:t>（大</w:t>
      </w:r>
      <w:r>
        <w:rPr>
          <w:rFonts w:hint="eastAsia" w:ascii="宋体" w:eastAsia="宋体"/>
          <w:spacing w:val="-8"/>
          <w:sz w:val="24"/>
        </w:rPr>
        <w:t>）</w:t>
      </w:r>
      <w:r>
        <w:rPr>
          <w:rFonts w:hint="eastAsia" w:ascii="宋体" w:eastAsia="宋体"/>
          <w:spacing w:val="-2"/>
          <w:sz w:val="24"/>
        </w:rPr>
        <w:t>会审议通过。未设股东</w:t>
      </w:r>
      <w:r>
        <w:rPr>
          <w:rFonts w:hint="eastAsia" w:ascii="宋体" w:eastAsia="宋体"/>
          <w:sz w:val="24"/>
        </w:rPr>
        <w:t>（大</w:t>
      </w:r>
      <w:r>
        <w:rPr>
          <w:rFonts w:hint="eastAsia" w:ascii="宋体" w:eastAsia="宋体"/>
          <w:spacing w:val="-5"/>
          <w:sz w:val="24"/>
        </w:rPr>
        <w:t>）</w:t>
      </w:r>
      <w:r>
        <w:rPr>
          <w:rFonts w:hint="eastAsia" w:ascii="宋体" w:eastAsia="宋体"/>
          <w:sz w:val="24"/>
        </w:rPr>
        <w:t>会</w:t>
      </w:r>
      <w:r>
        <w:rPr>
          <w:rFonts w:hint="eastAsia" w:ascii="宋体" w:eastAsia="宋体"/>
          <w:spacing w:val="-1"/>
          <w:sz w:val="24"/>
        </w:rPr>
        <w:t>的国有单位，经上级主管部门审核批准。股权激励计划应列明激励目的、对象、</w:t>
      </w:r>
      <w:r>
        <w:rPr>
          <w:rFonts w:hint="eastAsia" w:ascii="宋体" w:eastAsia="宋体"/>
          <w:sz w:val="24"/>
        </w:rPr>
        <w:t>标的、有效期、各类价格的确定方法、激励对象获取权益的条件、程序等。</w:t>
      </w:r>
    </w:p>
    <w:p>
      <w:pPr>
        <w:pStyle w:val="8"/>
        <w:numPr>
          <w:ilvl w:val="0"/>
          <w:numId w:val="91"/>
        </w:numPr>
        <w:tabs>
          <w:tab w:val="left" w:pos="2464"/>
        </w:tabs>
        <w:spacing w:before="2" w:after="0" w:line="364" w:lineRule="auto"/>
        <w:ind w:left="1800" w:right="1797" w:firstLine="480"/>
        <w:jc w:val="both"/>
        <w:rPr>
          <w:rFonts w:hint="eastAsia" w:ascii="宋体" w:eastAsia="宋体"/>
          <w:sz w:val="24"/>
        </w:rPr>
      </w:pPr>
      <w:r>
        <w:rPr>
          <w:rFonts w:hint="eastAsia" w:ascii="宋体" w:eastAsia="宋体"/>
          <w:spacing w:val="-3"/>
          <w:sz w:val="24"/>
        </w:rPr>
        <w:t>激励标的应为境内居民企业的本公司股权。股权奖励的标的可以是技术成</w:t>
      </w:r>
      <w:r>
        <w:rPr>
          <w:rFonts w:hint="eastAsia" w:ascii="宋体" w:eastAsia="宋体"/>
          <w:spacing w:val="-4"/>
          <w:sz w:val="24"/>
        </w:rPr>
        <w:t>果投资入股到其他境内居民企业所取得的股权。激励标的股票</w:t>
      </w:r>
      <w:r>
        <w:rPr>
          <w:rFonts w:hint="eastAsia" w:ascii="宋体" w:eastAsia="宋体"/>
          <w:sz w:val="24"/>
        </w:rPr>
        <w:t>（权</w:t>
      </w:r>
      <w:r>
        <w:rPr>
          <w:rFonts w:hint="eastAsia" w:ascii="宋体" w:eastAsia="宋体"/>
          <w:spacing w:val="-32"/>
          <w:sz w:val="24"/>
        </w:rPr>
        <w:t>）</w:t>
      </w:r>
      <w:r>
        <w:rPr>
          <w:rFonts w:hint="eastAsia" w:ascii="宋体" w:eastAsia="宋体"/>
          <w:spacing w:val="-3"/>
          <w:sz w:val="24"/>
        </w:rPr>
        <w:t>包括通过增</w:t>
      </w:r>
      <w:r>
        <w:rPr>
          <w:rFonts w:hint="eastAsia" w:ascii="宋体" w:eastAsia="宋体"/>
          <w:sz w:val="24"/>
        </w:rPr>
        <w:t>发、大股东直接让渡以及法律法规允许的其他合理方式授予激励对象的股票</w:t>
      </w:r>
    </w:p>
    <w:p>
      <w:pPr>
        <w:pStyle w:val="3"/>
        <w:spacing w:before="2"/>
      </w:pPr>
      <w:r>
        <w:t>（权）。</w:t>
      </w:r>
    </w:p>
    <w:p>
      <w:pPr>
        <w:pStyle w:val="8"/>
        <w:numPr>
          <w:ilvl w:val="0"/>
          <w:numId w:val="91"/>
        </w:numPr>
        <w:tabs>
          <w:tab w:val="left" w:pos="2464"/>
        </w:tabs>
        <w:spacing w:before="160" w:after="0" w:line="364" w:lineRule="auto"/>
        <w:ind w:left="1800" w:right="1677" w:firstLine="480"/>
        <w:jc w:val="left"/>
        <w:rPr>
          <w:rFonts w:hint="eastAsia" w:ascii="宋体" w:eastAsia="宋体"/>
          <w:sz w:val="24"/>
        </w:rPr>
      </w:pPr>
      <w:r>
        <w:rPr>
          <w:rFonts w:hint="eastAsia" w:ascii="宋体" w:eastAsia="宋体"/>
          <w:spacing w:val="-6"/>
          <w:sz w:val="24"/>
        </w:rPr>
        <w:t>激励对象应为公司董事会或股东</w:t>
      </w:r>
      <w:r>
        <w:rPr>
          <w:rFonts w:hint="eastAsia" w:ascii="宋体" w:eastAsia="宋体"/>
          <w:sz w:val="24"/>
        </w:rPr>
        <w:t>（大</w:t>
      </w:r>
      <w:r>
        <w:rPr>
          <w:rFonts w:hint="eastAsia" w:ascii="宋体" w:eastAsia="宋体"/>
          <w:spacing w:val="-77"/>
          <w:sz w:val="24"/>
        </w:rPr>
        <w:t>）</w:t>
      </w:r>
      <w:r>
        <w:rPr>
          <w:rFonts w:hint="eastAsia" w:ascii="宋体" w:eastAsia="宋体"/>
          <w:spacing w:val="-1"/>
          <w:sz w:val="24"/>
        </w:rPr>
        <w:t xml:space="preserve">会决定的技术骨干和高级管理人员， </w:t>
      </w:r>
      <w:r>
        <w:rPr>
          <w:rFonts w:hint="eastAsia" w:ascii="宋体" w:eastAsia="宋体"/>
          <w:spacing w:val="-4"/>
          <w:sz w:val="24"/>
        </w:rPr>
        <w:t xml:space="preserve">激励对象人数累计不得超过本公司最近 </w:t>
      </w:r>
      <w:r>
        <w:rPr>
          <w:rFonts w:ascii="Calibri" w:eastAsia="Calibri"/>
          <w:sz w:val="24"/>
        </w:rPr>
        <w:t>6</w:t>
      </w:r>
      <w:r>
        <w:rPr>
          <w:rFonts w:ascii="Calibri" w:eastAsia="Calibri"/>
          <w:spacing w:val="4"/>
          <w:sz w:val="24"/>
        </w:rPr>
        <w:t xml:space="preserve"> </w:t>
      </w:r>
      <w:r>
        <w:rPr>
          <w:rFonts w:hint="eastAsia" w:ascii="宋体" w:eastAsia="宋体"/>
          <w:spacing w:val="-5"/>
          <w:sz w:val="24"/>
        </w:rPr>
        <w:t xml:space="preserve">个月在职职工平均人数的 </w:t>
      </w:r>
      <w:r>
        <w:rPr>
          <w:rFonts w:ascii="Calibri" w:eastAsia="Calibri"/>
          <w:sz w:val="24"/>
        </w:rPr>
        <w:t>30%</w:t>
      </w:r>
      <w:r>
        <w:rPr>
          <w:rFonts w:hint="eastAsia" w:ascii="宋体" w:eastAsia="宋体"/>
          <w:sz w:val="24"/>
        </w:rPr>
        <w:t>。</w:t>
      </w:r>
    </w:p>
    <w:p>
      <w:pPr>
        <w:pStyle w:val="8"/>
        <w:numPr>
          <w:ilvl w:val="0"/>
          <w:numId w:val="91"/>
        </w:numPr>
        <w:tabs>
          <w:tab w:val="left" w:pos="2464"/>
        </w:tabs>
        <w:spacing w:before="2" w:after="0" w:line="240" w:lineRule="auto"/>
        <w:ind w:left="2463" w:right="0" w:hanging="184"/>
        <w:jc w:val="left"/>
        <w:rPr>
          <w:rFonts w:hint="eastAsia" w:ascii="宋体" w:eastAsia="宋体"/>
          <w:sz w:val="24"/>
        </w:rPr>
      </w:pPr>
      <w:r>
        <w:rPr>
          <w:rFonts w:hint="eastAsia" w:ascii="宋体" w:eastAsia="宋体"/>
          <w:spacing w:val="-5"/>
          <w:sz w:val="24"/>
        </w:rPr>
        <w:t>股票</w:t>
      </w:r>
      <w:r>
        <w:rPr>
          <w:rFonts w:hint="eastAsia" w:ascii="宋体" w:eastAsia="宋体"/>
          <w:sz w:val="24"/>
        </w:rPr>
        <w:t>（权</w:t>
      </w:r>
      <w:r>
        <w:rPr>
          <w:rFonts w:hint="eastAsia" w:ascii="宋体" w:eastAsia="宋体"/>
          <w:spacing w:val="-12"/>
          <w:sz w:val="24"/>
        </w:rPr>
        <w:t>）</w:t>
      </w:r>
      <w:r>
        <w:rPr>
          <w:rFonts w:hint="eastAsia" w:ascii="宋体" w:eastAsia="宋体"/>
          <w:spacing w:val="-5"/>
          <w:sz w:val="24"/>
        </w:rPr>
        <w:t xml:space="preserve">期权自授予日起应持有满 </w:t>
      </w:r>
      <w:r>
        <w:rPr>
          <w:rFonts w:ascii="Calibri" w:eastAsia="Calibri"/>
          <w:sz w:val="24"/>
        </w:rPr>
        <w:t>3</w:t>
      </w:r>
      <w:r>
        <w:rPr>
          <w:rFonts w:ascii="Calibri" w:eastAsia="Calibri"/>
          <w:spacing w:val="6"/>
          <w:sz w:val="24"/>
        </w:rPr>
        <w:t xml:space="preserve"> </w:t>
      </w:r>
      <w:r>
        <w:rPr>
          <w:rFonts w:hint="eastAsia" w:ascii="宋体" w:eastAsia="宋体"/>
          <w:spacing w:val="-8"/>
          <w:sz w:val="24"/>
        </w:rPr>
        <w:t xml:space="preserve">年，且自行权日起持有满 </w:t>
      </w:r>
      <w:r>
        <w:rPr>
          <w:rFonts w:ascii="Calibri" w:eastAsia="Calibri"/>
          <w:sz w:val="24"/>
        </w:rPr>
        <w:t>1</w:t>
      </w:r>
      <w:r>
        <w:rPr>
          <w:rFonts w:ascii="Calibri" w:eastAsia="Calibri"/>
          <w:spacing w:val="6"/>
          <w:sz w:val="24"/>
        </w:rPr>
        <w:t xml:space="preserve"> </w:t>
      </w:r>
      <w:r>
        <w:rPr>
          <w:rFonts w:hint="eastAsia" w:ascii="宋体" w:eastAsia="宋体"/>
          <w:spacing w:val="-4"/>
          <w:sz w:val="24"/>
        </w:rPr>
        <w:t>年；限</w:t>
      </w:r>
    </w:p>
    <w:p>
      <w:pPr>
        <w:pStyle w:val="3"/>
        <w:spacing w:before="160"/>
      </w:pPr>
      <w:r>
        <w:t xml:space="preserve">制性股票自授予日起应持有满 </w:t>
      </w:r>
      <w:r>
        <w:rPr>
          <w:rFonts w:ascii="Calibri" w:eastAsia="Calibri"/>
        </w:rPr>
        <w:t xml:space="preserve">3 </w:t>
      </w:r>
      <w:r>
        <w:t xml:space="preserve">年，且解禁后持有满 </w:t>
      </w:r>
      <w:r>
        <w:rPr>
          <w:rFonts w:ascii="Calibri" w:eastAsia="Calibri"/>
        </w:rPr>
        <w:t xml:space="preserve">1 </w:t>
      </w:r>
      <w:r>
        <w:t>年；股权奖励自获得奖励</w:t>
      </w:r>
    </w:p>
    <w:p>
      <w:pPr>
        <w:pStyle w:val="3"/>
        <w:spacing w:before="161"/>
      </w:pPr>
      <w:r>
        <w:t xml:space="preserve">之日起应持有满 </w:t>
      </w:r>
      <w:r>
        <w:rPr>
          <w:rFonts w:ascii="Calibri" w:eastAsia="Calibri"/>
        </w:rPr>
        <w:t xml:space="preserve">3 </w:t>
      </w:r>
      <w:r>
        <w:t>年。上述时间条件须在股权激励计划中列明。</w:t>
      </w:r>
    </w:p>
    <w:p>
      <w:pPr>
        <w:pStyle w:val="8"/>
        <w:numPr>
          <w:ilvl w:val="0"/>
          <w:numId w:val="91"/>
        </w:numPr>
        <w:tabs>
          <w:tab w:val="left" w:pos="2464"/>
        </w:tabs>
        <w:spacing w:before="160" w:after="0" w:line="240" w:lineRule="auto"/>
        <w:ind w:left="2463" w:right="0" w:hanging="184"/>
        <w:jc w:val="both"/>
        <w:rPr>
          <w:rFonts w:hint="eastAsia" w:ascii="宋体" w:eastAsia="宋体"/>
          <w:sz w:val="24"/>
        </w:rPr>
      </w:pPr>
      <w:r>
        <w:rPr>
          <w:rFonts w:hint="eastAsia" w:ascii="宋体" w:eastAsia="宋体"/>
          <w:sz w:val="24"/>
        </w:rPr>
        <w:t>股票（权）</w:t>
      </w:r>
      <w:r>
        <w:rPr>
          <w:rFonts w:hint="eastAsia" w:ascii="宋体" w:eastAsia="宋体"/>
          <w:spacing w:val="-4"/>
          <w:sz w:val="24"/>
        </w:rPr>
        <w:t xml:space="preserve">期权自授予日至行权日的时间不得超过 </w:t>
      </w:r>
      <w:r>
        <w:rPr>
          <w:rFonts w:ascii="Calibri" w:eastAsia="Calibri"/>
          <w:sz w:val="24"/>
        </w:rPr>
        <w:t>10</w:t>
      </w:r>
      <w:r>
        <w:rPr>
          <w:rFonts w:ascii="Calibri" w:eastAsia="Calibri"/>
          <w:spacing w:val="4"/>
          <w:sz w:val="24"/>
        </w:rPr>
        <w:t xml:space="preserve"> </w:t>
      </w:r>
      <w:r>
        <w:rPr>
          <w:rFonts w:hint="eastAsia" w:ascii="宋体" w:eastAsia="宋体"/>
          <w:sz w:val="24"/>
        </w:rPr>
        <w:t>年。</w:t>
      </w:r>
    </w:p>
    <w:p>
      <w:pPr>
        <w:pStyle w:val="8"/>
        <w:numPr>
          <w:ilvl w:val="0"/>
          <w:numId w:val="91"/>
        </w:numPr>
        <w:tabs>
          <w:tab w:val="left" w:pos="2464"/>
        </w:tabs>
        <w:spacing w:before="161" w:after="0" w:line="364" w:lineRule="auto"/>
        <w:ind w:left="1800" w:right="1797" w:firstLine="480"/>
        <w:jc w:val="both"/>
        <w:rPr>
          <w:rFonts w:hint="eastAsia" w:ascii="宋体" w:eastAsia="宋体"/>
          <w:sz w:val="24"/>
        </w:rPr>
      </w:pPr>
      <w:r>
        <w:rPr>
          <w:rFonts w:hint="eastAsia" w:ascii="宋体" w:eastAsia="宋体"/>
          <w:spacing w:val="-3"/>
          <w:sz w:val="24"/>
        </w:rPr>
        <w:t>实施股权奖励的公司及其奖励股权标的公司所属行业均不属于《股权奖励</w:t>
      </w:r>
      <w:r>
        <w:rPr>
          <w:rFonts w:hint="eastAsia" w:ascii="宋体" w:eastAsia="宋体"/>
          <w:spacing w:val="-4"/>
          <w:sz w:val="24"/>
        </w:rPr>
        <w:t>税收优惠政策限制性行业目录》范围</w:t>
      </w:r>
      <w:r>
        <w:rPr>
          <w:rFonts w:hint="eastAsia" w:ascii="宋体" w:eastAsia="宋体"/>
          <w:sz w:val="24"/>
        </w:rPr>
        <w:t>（见附件</w:t>
      </w:r>
      <w:r>
        <w:rPr>
          <w:rFonts w:hint="eastAsia" w:ascii="宋体" w:eastAsia="宋体"/>
          <w:spacing w:val="-24"/>
          <w:sz w:val="24"/>
        </w:rPr>
        <w:t>）</w:t>
      </w:r>
      <w:r>
        <w:rPr>
          <w:rFonts w:hint="eastAsia" w:ascii="宋体" w:eastAsia="宋体"/>
          <w:spacing w:val="-6"/>
          <w:sz w:val="24"/>
        </w:rPr>
        <w:t>。公司所属行业按公司上一纳税</w:t>
      </w:r>
      <w:r>
        <w:rPr>
          <w:rFonts w:hint="eastAsia" w:ascii="宋体" w:eastAsia="宋体"/>
          <w:sz w:val="24"/>
        </w:rPr>
        <w:t>年度主营业务收入占比最高的行业确定。</w:t>
      </w:r>
    </w:p>
    <w:p>
      <w:pPr>
        <w:pStyle w:val="3"/>
        <w:spacing w:line="364" w:lineRule="auto"/>
        <w:ind w:right="1797" w:firstLine="480"/>
      </w:pPr>
      <w:r>
        <w:t>（三</w:t>
      </w:r>
      <w:r>
        <w:rPr>
          <w:spacing w:val="-32"/>
        </w:rPr>
        <w:t>）</w:t>
      </w:r>
      <w:r>
        <w:rPr>
          <w:spacing w:val="-5"/>
        </w:rPr>
        <w:t>本通知所称股票</w:t>
      </w:r>
      <w:r>
        <w:t>（权</w:t>
      </w:r>
      <w:r>
        <w:rPr>
          <w:spacing w:val="-32"/>
        </w:rPr>
        <w:t>）</w:t>
      </w:r>
      <w:r>
        <w:rPr>
          <w:spacing w:val="-1"/>
        </w:rPr>
        <w:t>期权是指公司给予激励对象在一定期限内以事</w:t>
      </w:r>
      <w:r>
        <w:rPr>
          <w:spacing w:val="-3"/>
        </w:rPr>
        <w:t>先约定的价格购买本公司股票</w:t>
      </w:r>
      <w:r>
        <w:t>（权</w:t>
      </w:r>
      <w:r>
        <w:rPr>
          <w:spacing w:val="-32"/>
        </w:rPr>
        <w:t>）</w:t>
      </w:r>
      <w:r>
        <w:rPr>
          <w:spacing w:val="-7"/>
        </w:rPr>
        <w:t>的权利；所称限制性股票是指公司按照预先</w:t>
      </w:r>
    </w:p>
    <w:p>
      <w:pPr>
        <w:spacing w:after="0" w:line="364" w:lineRule="auto"/>
        <w:sectPr>
          <w:pgSz w:w="11910" w:h="16840"/>
          <w:pgMar w:top="1540" w:right="0" w:bottom="1380" w:left="0" w:header="965" w:footer="1182" w:gutter="0"/>
          <w:cols w:space="720" w:num="1"/>
        </w:sectPr>
      </w:pPr>
    </w:p>
    <w:p>
      <w:pPr>
        <w:pStyle w:val="3"/>
        <w:spacing w:before="2"/>
        <w:ind w:left="0"/>
        <w:rPr>
          <w:sz w:val="12"/>
        </w:rPr>
      </w:pPr>
    </w:p>
    <w:p>
      <w:pPr>
        <w:pStyle w:val="3"/>
        <w:spacing w:before="67" w:line="364" w:lineRule="auto"/>
        <w:ind w:right="1797"/>
        <w:jc w:val="both"/>
      </w:pPr>
      <w:r>
        <w:rPr>
          <w:spacing w:val="-6"/>
        </w:rPr>
        <w:t>确定的条件授予激励对象一定数量的本公司股权，激励对象只有工作年限或业绩</w:t>
      </w:r>
      <w:r>
        <w:rPr>
          <w:spacing w:val="-5"/>
        </w:rPr>
        <w:t>目标符合股权激励计划规定条件的才可以处置该股权；所称股权奖励是指企业无</w:t>
      </w:r>
      <w:r>
        <w:t>偿授予激励对象一定份额的股权或一定数量的股份。</w:t>
      </w:r>
    </w:p>
    <w:p>
      <w:pPr>
        <w:pStyle w:val="3"/>
        <w:spacing w:before="2" w:line="364" w:lineRule="auto"/>
        <w:ind w:right="1677" w:firstLine="480"/>
      </w:pPr>
      <w:r>
        <w:t>（四</w:t>
      </w:r>
      <w:r>
        <w:rPr>
          <w:spacing w:val="-72"/>
        </w:rPr>
        <w:t>）</w:t>
      </w:r>
      <w:r>
        <w:rPr>
          <w:spacing w:val="-4"/>
        </w:rPr>
        <w:t>股权激励计划所列内容不同时满足第一条第</w:t>
      </w:r>
      <w:r>
        <w:t>（二</w:t>
      </w:r>
      <w:r>
        <w:rPr>
          <w:spacing w:val="-70"/>
        </w:rPr>
        <w:t>）</w:t>
      </w:r>
      <w:r>
        <w:rPr>
          <w:spacing w:val="-2"/>
        </w:rPr>
        <w:t xml:space="preserve">款规定的全部条件， </w:t>
      </w:r>
      <w:r>
        <w:rPr>
          <w:spacing w:val="-5"/>
        </w:rPr>
        <w:t>或递延纳税期间公司情况发生变化，不再符合第一条第</w:t>
      </w:r>
      <w:r>
        <w:t>（二</w:t>
      </w:r>
      <w:r>
        <w:rPr>
          <w:spacing w:val="-34"/>
        </w:rPr>
        <w:t>）</w:t>
      </w:r>
      <w:r>
        <w:rPr>
          <w:spacing w:val="-20"/>
        </w:rPr>
        <w:t xml:space="preserve">款第 </w:t>
      </w:r>
      <w:r>
        <w:rPr>
          <w:rFonts w:ascii="Calibri" w:eastAsia="Calibri"/>
        </w:rPr>
        <w:t xml:space="preserve">4 </w:t>
      </w:r>
      <w:r>
        <w:rPr>
          <w:spacing w:val="-30"/>
        </w:rPr>
        <w:t xml:space="preserve">至 </w:t>
      </w:r>
      <w:r>
        <w:rPr>
          <w:rFonts w:ascii="Calibri" w:eastAsia="Calibri"/>
        </w:rPr>
        <w:t xml:space="preserve">6 </w:t>
      </w:r>
      <w:r>
        <w:t>项条件的，不得享受递延纳税优惠，应按规定计算缴纳个人所得税。</w:t>
      </w:r>
    </w:p>
    <w:p>
      <w:pPr>
        <w:spacing w:before="1"/>
        <w:ind w:left="2280" w:right="0" w:firstLine="0"/>
        <w:jc w:val="left"/>
        <w:rPr>
          <w:b/>
          <w:sz w:val="24"/>
        </w:rPr>
      </w:pPr>
      <w:r>
        <w:rPr>
          <w:b/>
          <w:sz w:val="24"/>
        </w:rPr>
        <w:t>二、对上市公司股票期权、限制性股票和股权奖励适当延长纳税期限</w:t>
      </w:r>
    </w:p>
    <w:p>
      <w:pPr>
        <w:pStyle w:val="3"/>
        <w:spacing w:before="161" w:line="364" w:lineRule="auto"/>
        <w:ind w:right="1705" w:firstLine="480"/>
      </w:pPr>
      <w:r>
        <w:pict>
          <v:shape id="_x0000_s1119" o:spid="_x0000_s1119" o:spt="136" type="#_x0000_t136" style="position:absolute;left:0pt;margin-left:41.25pt;margin-top:117.85pt;height:132pt;width:528.05pt;mso-position-horizontal-relative:page;rotation:20643840f;z-index:-251560960;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t>（一</w:t>
      </w:r>
      <w:r>
        <w:rPr>
          <w:spacing w:val="-32"/>
        </w:rPr>
        <w:t>）</w:t>
      </w:r>
      <w:r>
        <w:rPr>
          <w:spacing w:val="-5"/>
        </w:rPr>
        <w:t>上市公司授予个人的股票期权、限制性股票和股权奖励，经向主管税</w:t>
      </w:r>
      <w:r>
        <w:rPr>
          <w:spacing w:val="-6"/>
        </w:rPr>
        <w:t xml:space="preserve">务机关备案，个人可自股票期权行权、限制性股票解禁或取得股权奖励之日起， </w:t>
      </w:r>
      <w:r>
        <w:rPr>
          <w:spacing w:val="-12"/>
        </w:rPr>
        <w:t xml:space="preserve">在不超过 </w:t>
      </w:r>
      <w:r>
        <w:rPr>
          <w:rFonts w:ascii="Calibri" w:eastAsia="Calibri"/>
        </w:rPr>
        <w:t xml:space="preserve">12 </w:t>
      </w:r>
      <w:r>
        <w:rPr>
          <w:spacing w:val="-7"/>
        </w:rPr>
        <w:t>个月的期限内缴纳个人所得税。《财政部 国家税务总局关于上市公司高管人员股票期权所得缴纳个人所得税有关问题的通知》（财税〔</w:t>
      </w:r>
      <w:r>
        <w:rPr>
          <w:rFonts w:ascii="Calibri" w:eastAsia="Calibri"/>
          <w:spacing w:val="-7"/>
        </w:rPr>
        <w:t>2009</w:t>
      </w:r>
      <w:r>
        <w:rPr>
          <w:spacing w:val="-7"/>
        </w:rPr>
        <w:t>〕</w:t>
      </w:r>
      <w:r>
        <w:rPr>
          <w:rFonts w:ascii="Calibri" w:eastAsia="Calibri"/>
          <w:spacing w:val="-7"/>
        </w:rPr>
        <w:t xml:space="preserve">40 </w:t>
      </w:r>
      <w:r>
        <w:rPr>
          <w:spacing w:val="-7"/>
        </w:rPr>
        <w:t>号）自本通知施行之日起废止。</w:t>
      </w:r>
    </w:p>
    <w:p>
      <w:pPr>
        <w:pStyle w:val="3"/>
        <w:spacing w:before="3" w:line="364" w:lineRule="auto"/>
        <w:ind w:right="1677" w:firstLine="480"/>
      </w:pPr>
      <w:r>
        <w:t>（二</w:t>
      </w:r>
      <w:r>
        <w:rPr>
          <w:spacing w:val="-24"/>
        </w:rPr>
        <w:t>）</w:t>
      </w:r>
      <w:r>
        <w:rPr>
          <w:spacing w:val="-5"/>
        </w:rPr>
        <w:t>上市公司股票期权、限制性股票应纳税款的计算，继续按照《财政部国家税务总局关于个人股票期权所得征收个人所得税问题的通知</w:t>
      </w:r>
      <w:r>
        <w:rPr>
          <w:spacing w:val="-147"/>
        </w:rPr>
        <w:t>》</w:t>
      </w:r>
      <w:r>
        <w:rPr>
          <w:spacing w:val="-3"/>
        </w:rPr>
        <w:t>（</w:t>
      </w:r>
      <w:r>
        <w:rPr>
          <w:spacing w:val="-25"/>
        </w:rPr>
        <w:t>财税〔</w:t>
      </w:r>
      <w:r>
        <w:rPr>
          <w:rFonts w:ascii="Calibri" w:eastAsia="Calibri"/>
        </w:rPr>
        <w:t>2005</w:t>
      </w:r>
      <w:r>
        <w:rPr>
          <w:spacing w:val="-14"/>
        </w:rPr>
        <w:t>〕</w:t>
      </w:r>
      <w:r>
        <w:rPr>
          <w:rFonts w:ascii="Calibri" w:eastAsia="Calibri"/>
        </w:rPr>
        <w:t xml:space="preserve">35 </w:t>
      </w:r>
      <w:r>
        <w:t>号</w:t>
      </w:r>
      <w:r>
        <w:rPr>
          <w:spacing w:val="-12"/>
        </w:rPr>
        <w:t>）</w:t>
      </w:r>
      <w:r>
        <w:rPr>
          <w:spacing w:val="-5"/>
        </w:rPr>
        <w:t>、《财政部 国家税务总局关于股票增值权所得和限制性股票所得征收个</w:t>
      </w:r>
      <w:r>
        <w:rPr>
          <w:spacing w:val="-6"/>
        </w:rPr>
        <w:t>人所得税有关问题的通知》</w:t>
      </w:r>
      <w:r>
        <w:t>（</w:t>
      </w:r>
      <w:r>
        <w:rPr>
          <w:spacing w:val="-3"/>
        </w:rPr>
        <w:t>财税〔</w:t>
      </w:r>
      <w:r>
        <w:rPr>
          <w:rFonts w:ascii="Calibri" w:eastAsia="Calibri"/>
        </w:rPr>
        <w:t>2009</w:t>
      </w:r>
      <w:r>
        <w:rPr>
          <w:spacing w:val="-8"/>
        </w:rPr>
        <w:t>〕</w:t>
      </w:r>
      <w:r>
        <w:rPr>
          <w:rFonts w:ascii="Calibri" w:eastAsia="Calibri"/>
        </w:rPr>
        <w:t xml:space="preserve">5 </w:t>
      </w:r>
      <w:r>
        <w:t>号</w:t>
      </w:r>
      <w:r>
        <w:rPr>
          <w:spacing w:val="-5"/>
        </w:rPr>
        <w:t>）</w:t>
      </w:r>
      <w:r>
        <w:rPr>
          <w:spacing w:val="-3"/>
        </w:rPr>
        <w:t>、《国家税务总局关于股权激</w:t>
      </w:r>
      <w:r>
        <w:rPr>
          <w:spacing w:val="-4"/>
        </w:rPr>
        <w:t>励有关个人所得税问题的通知》</w:t>
      </w:r>
      <w:r>
        <w:rPr>
          <w:spacing w:val="-3"/>
        </w:rPr>
        <w:t>（国税函〔</w:t>
      </w:r>
      <w:r>
        <w:rPr>
          <w:rFonts w:ascii="Calibri" w:eastAsia="Calibri"/>
        </w:rPr>
        <w:t>2009</w:t>
      </w:r>
      <w:r>
        <w:rPr>
          <w:spacing w:val="-8"/>
        </w:rPr>
        <w:t>〕</w:t>
      </w:r>
      <w:r>
        <w:rPr>
          <w:rFonts w:ascii="Calibri" w:eastAsia="Calibri"/>
        </w:rPr>
        <w:t xml:space="preserve">461 </w:t>
      </w:r>
      <w:r>
        <w:t>号</w:t>
      </w:r>
      <w:r>
        <w:rPr>
          <w:spacing w:val="-8"/>
        </w:rPr>
        <w:t>）</w:t>
      </w:r>
      <w:r>
        <w:rPr>
          <w:spacing w:val="-1"/>
        </w:rPr>
        <w:t>等相关规定执行。股权奖励应纳税款的计算比照上述规定执行。</w:t>
      </w:r>
    </w:p>
    <w:p>
      <w:pPr>
        <w:spacing w:before="4"/>
        <w:ind w:left="2280" w:right="0" w:firstLine="0"/>
        <w:jc w:val="left"/>
        <w:rPr>
          <w:b/>
          <w:sz w:val="24"/>
        </w:rPr>
      </w:pPr>
      <w:r>
        <w:rPr>
          <w:b/>
          <w:sz w:val="24"/>
        </w:rPr>
        <w:t>三、对技术成果投资入股实施选择性税收优惠政策</w:t>
      </w:r>
    </w:p>
    <w:p>
      <w:pPr>
        <w:pStyle w:val="3"/>
        <w:spacing w:before="160" w:line="364" w:lineRule="auto"/>
        <w:ind w:right="1797" w:firstLine="480"/>
        <w:jc w:val="both"/>
      </w:pPr>
      <w:r>
        <w:t>（一</w:t>
      </w:r>
      <w:r>
        <w:rPr>
          <w:spacing w:val="-48"/>
        </w:rPr>
        <w:t>）</w:t>
      </w:r>
      <w:r>
        <w:rPr>
          <w:spacing w:val="-4"/>
        </w:rPr>
        <w:t>企业或个人以技术成果投资入股到境内居民企业，被投资企业支付的对价全部为股票</w:t>
      </w:r>
      <w:r>
        <w:t>（权</w:t>
      </w:r>
      <w:r>
        <w:rPr>
          <w:spacing w:val="-24"/>
        </w:rPr>
        <w:t>）</w:t>
      </w:r>
      <w:r>
        <w:rPr>
          <w:spacing w:val="-7"/>
        </w:rPr>
        <w:t>的，企业或个人可选择继续按现行有关税收政策执行，也</w:t>
      </w:r>
      <w:r>
        <w:t>可选择适用递延纳税优惠政策。</w:t>
      </w:r>
    </w:p>
    <w:p>
      <w:pPr>
        <w:pStyle w:val="3"/>
        <w:spacing w:before="2" w:line="364" w:lineRule="auto"/>
        <w:ind w:right="1797" w:firstLine="480"/>
        <w:jc w:val="both"/>
      </w:pPr>
      <w:r>
        <w:rPr>
          <w:spacing w:val="-6"/>
        </w:rPr>
        <w:t>选择技术成果投资入股递延纳税政策的，经向主管税务机关备案，投资入股</w:t>
      </w:r>
      <w:r>
        <w:rPr>
          <w:spacing w:val="-10"/>
        </w:rPr>
        <w:t>当期可暂不纳税，允许递延至转让股权时，按股权转让收入减去技术成果原值和</w:t>
      </w:r>
      <w:r>
        <w:t>合理税费后的差额计算缴纳所得税。</w:t>
      </w:r>
    </w:p>
    <w:p>
      <w:pPr>
        <w:pStyle w:val="3"/>
        <w:spacing w:before="2" w:line="364" w:lineRule="auto"/>
        <w:ind w:right="1797" w:firstLine="480"/>
      </w:pPr>
      <w:r>
        <w:t>（二</w:t>
      </w:r>
      <w:r>
        <w:rPr>
          <w:spacing w:val="-48"/>
        </w:rPr>
        <w:t>）</w:t>
      </w:r>
      <w:r>
        <w:rPr>
          <w:spacing w:val="-4"/>
        </w:rPr>
        <w:t>企业或个人选择适用上述任一项政策，均允许被投资企业按技术成果</w:t>
      </w:r>
      <w:r>
        <w:t>投资入股时的评估值入账并在企业所得税前摊销扣除。</w:t>
      </w:r>
    </w:p>
    <w:p>
      <w:pPr>
        <w:pStyle w:val="3"/>
        <w:spacing w:line="364" w:lineRule="auto"/>
        <w:ind w:right="1797" w:firstLine="480"/>
      </w:pPr>
      <w:r>
        <w:t>（三</w:t>
      </w:r>
      <w:r>
        <w:rPr>
          <w:spacing w:val="-20"/>
        </w:rPr>
        <w:t>）</w:t>
      </w:r>
      <w:r>
        <w:rPr>
          <w:spacing w:val="-2"/>
        </w:rPr>
        <w:t>技术成果是指专利技术</w:t>
      </w:r>
      <w:r>
        <w:rPr>
          <w:spacing w:val="-3"/>
        </w:rPr>
        <w:t>（</w:t>
      </w:r>
      <w:r>
        <w:t>含国防专利</w:t>
      </w:r>
      <w:r>
        <w:rPr>
          <w:spacing w:val="-20"/>
        </w:rPr>
        <w:t>）</w:t>
      </w:r>
      <w:r>
        <w:rPr>
          <w:spacing w:val="-8"/>
        </w:rPr>
        <w:t>、计算机软件著作权、集成电</w:t>
      </w:r>
      <w:r>
        <w:rPr>
          <w:spacing w:val="-9"/>
        </w:rPr>
        <w:t>路布图设计专有权、植物新品种权、生物医药新品种，以及科技部、财政部、国</w:t>
      </w:r>
    </w:p>
    <w:p>
      <w:pPr>
        <w:spacing w:after="0" w:line="364" w:lineRule="auto"/>
        <w:sectPr>
          <w:pgSz w:w="11910" w:h="16840"/>
          <w:pgMar w:top="1540" w:right="0" w:bottom="1380" w:left="0" w:header="965" w:footer="1182" w:gutter="0"/>
          <w:cols w:space="720" w:num="1"/>
        </w:sectPr>
      </w:pPr>
    </w:p>
    <w:p>
      <w:pPr>
        <w:pStyle w:val="3"/>
        <w:spacing w:before="2"/>
        <w:ind w:left="0"/>
        <w:rPr>
          <w:sz w:val="12"/>
        </w:rPr>
      </w:pPr>
    </w:p>
    <w:p>
      <w:pPr>
        <w:pStyle w:val="3"/>
        <w:spacing w:before="67"/>
      </w:pPr>
      <w:r>
        <w:t>家税务总局确定的其他技术成果。</w:t>
      </w:r>
    </w:p>
    <w:p>
      <w:pPr>
        <w:pStyle w:val="3"/>
        <w:spacing w:before="160" w:line="364" w:lineRule="auto"/>
        <w:ind w:right="1677" w:firstLine="480"/>
      </w:pPr>
      <w:r>
        <w:t>（四</w:t>
      </w:r>
      <w:r>
        <w:rPr>
          <w:spacing w:val="-108"/>
        </w:rPr>
        <w:t>）</w:t>
      </w:r>
      <w:r>
        <w:rPr>
          <w:spacing w:val="-11"/>
        </w:rPr>
        <w:t>技术成果投资入股，是指纳税人将技术成果所有权让渡给被投资企业、</w:t>
      </w:r>
      <w:r>
        <w:t>取得该企业股票（权）的行为。</w:t>
      </w:r>
    </w:p>
    <w:p>
      <w:pPr>
        <w:spacing w:before="2"/>
        <w:ind w:left="2280" w:right="0" w:firstLine="0"/>
        <w:jc w:val="left"/>
        <w:rPr>
          <w:b/>
          <w:sz w:val="24"/>
        </w:rPr>
      </w:pPr>
      <w:r>
        <w:rPr>
          <w:b/>
          <w:sz w:val="24"/>
        </w:rPr>
        <w:t>四、相关政策</w:t>
      </w:r>
    </w:p>
    <w:p>
      <w:pPr>
        <w:pStyle w:val="3"/>
        <w:spacing w:before="160" w:line="364" w:lineRule="auto"/>
        <w:ind w:right="1797" w:firstLine="480"/>
        <w:jc w:val="both"/>
      </w:pPr>
      <w:r>
        <w:t>（一</w:t>
      </w:r>
      <w:r>
        <w:rPr>
          <w:spacing w:val="-24"/>
        </w:rPr>
        <w:t>）</w:t>
      </w:r>
      <w:r>
        <w:rPr>
          <w:spacing w:val="-2"/>
        </w:rPr>
        <w:t>个人从任职受雇企业以低于公平市场价格取得股票</w:t>
      </w:r>
      <w:r>
        <w:t>（权</w:t>
      </w:r>
      <w:r>
        <w:rPr>
          <w:spacing w:val="-24"/>
        </w:rPr>
        <w:t>）</w:t>
      </w:r>
      <w:r>
        <w:rPr>
          <w:spacing w:val="-9"/>
        </w:rPr>
        <w:t>的，凡不符</w:t>
      </w:r>
      <w:r>
        <w:rPr>
          <w:spacing w:val="-5"/>
        </w:rPr>
        <w:t>合递延纳税条件，应在获得股票</w:t>
      </w:r>
      <w:r>
        <w:t>（权</w:t>
      </w:r>
      <w:r>
        <w:rPr>
          <w:spacing w:val="-24"/>
        </w:rPr>
        <w:t>）</w:t>
      </w:r>
      <w:r>
        <w:rPr>
          <w:spacing w:val="-6"/>
        </w:rPr>
        <w:t>时，对实际出资额低于公平市场价格的差</w:t>
      </w:r>
      <w:r>
        <w:t>额，按照</w:t>
      </w:r>
      <w:r>
        <w:rPr>
          <w:rFonts w:ascii="Calibri" w:hAnsi="Calibri" w:eastAsia="Calibri"/>
        </w:rPr>
        <w:t>“</w:t>
      </w:r>
      <w:r>
        <w:t>工资、薪金所得</w:t>
      </w:r>
      <w:r>
        <w:rPr>
          <w:rFonts w:ascii="Calibri" w:hAnsi="Calibri" w:eastAsia="Calibri"/>
          <w:spacing w:val="-3"/>
        </w:rPr>
        <w:t>”</w:t>
      </w:r>
      <w:r>
        <w:t>项目，参照《财政部 国家税务总局关于个人股票期权所得征收个人所得税问题的通知》（财税〔</w:t>
      </w:r>
      <w:r>
        <w:rPr>
          <w:rFonts w:ascii="Calibri" w:hAnsi="Calibri" w:eastAsia="Calibri"/>
        </w:rPr>
        <w:t>2005</w:t>
      </w:r>
      <w:r>
        <w:t>〕</w:t>
      </w:r>
      <w:r>
        <w:rPr>
          <w:rFonts w:ascii="Calibri" w:hAnsi="Calibri" w:eastAsia="Calibri"/>
        </w:rPr>
        <w:t xml:space="preserve">35 </w:t>
      </w:r>
      <w:r>
        <w:t>号）有关规定计算缴纳个人所得税。</w:t>
      </w:r>
    </w:p>
    <w:p>
      <w:pPr>
        <w:pStyle w:val="3"/>
        <w:spacing w:before="3" w:line="364" w:lineRule="auto"/>
        <w:ind w:right="1797" w:firstLine="480"/>
      </w:pPr>
      <w:r>
        <w:t>（二</w:t>
      </w:r>
      <w:r>
        <w:rPr>
          <w:spacing w:val="-32"/>
        </w:rPr>
        <w:t>）</w:t>
      </w:r>
      <w:r>
        <w:rPr>
          <w:spacing w:val="-7"/>
        </w:rPr>
        <w:t>个人因股权激励、技术成果投资入股取得股权后，非上市公司在境内</w:t>
      </w:r>
      <w:r>
        <w:t>上市的，处置递延纳税的股权时，按照现行限售股有关征税规定执行。</w:t>
      </w:r>
    </w:p>
    <w:p>
      <w:pPr>
        <w:pStyle w:val="3"/>
        <w:spacing w:line="364" w:lineRule="auto"/>
        <w:ind w:right="1705" w:firstLine="480"/>
      </w:pPr>
      <w:r>
        <w:pict>
          <v:shape id="_x0000_s1120" o:spid="_x0000_s1120" o:spt="136" type="#_x0000_t136" style="position:absolute;left:0pt;margin-left:41.25pt;margin-top:16.25pt;height:132pt;width:528.05pt;mso-position-horizontal-relative:page;rotation:20643840f;z-index:-251559936;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t>（三）个人转让股权时，视同享受递延纳税优惠政策的股权优先转让。递延纳税的股权成本按照加权平均法计算，不与其他方式取得的股权成本合并计算。</w:t>
      </w:r>
    </w:p>
    <w:p>
      <w:pPr>
        <w:pStyle w:val="3"/>
        <w:spacing w:line="364" w:lineRule="auto"/>
        <w:ind w:right="1797" w:firstLine="480"/>
      </w:pPr>
      <w:r>
        <w:t>（四</w:t>
      </w:r>
      <w:r>
        <w:rPr>
          <w:spacing w:val="-32"/>
        </w:rPr>
        <w:t>）</w:t>
      </w:r>
      <w:r>
        <w:rPr>
          <w:spacing w:val="-6"/>
        </w:rPr>
        <w:t>持有递延纳税的股权期间，因该股权产生的转增股本收入，以及以该</w:t>
      </w:r>
      <w:r>
        <w:t>递延纳税的股权再进行非货币性资产投资的，应在当期缴纳税款。</w:t>
      </w:r>
    </w:p>
    <w:p>
      <w:pPr>
        <w:pStyle w:val="3"/>
        <w:spacing w:before="2" w:line="364" w:lineRule="auto"/>
        <w:ind w:left="2280" w:right="1797"/>
      </w:pPr>
      <w:r>
        <w:t>（五）全国中小企业股份转让系统挂牌公司按照本通知第一条规定执行。</w:t>
      </w:r>
      <w:r>
        <w:rPr>
          <w:spacing w:val="-5"/>
        </w:rPr>
        <w:t>适用本通知第二条规定的上市公司是指其股票在上海证券交易所、深圳证券</w:t>
      </w:r>
    </w:p>
    <w:p>
      <w:pPr>
        <w:spacing w:before="1" w:line="364" w:lineRule="auto"/>
        <w:ind w:left="2280" w:right="6505" w:hanging="480"/>
        <w:jc w:val="left"/>
        <w:rPr>
          <w:b/>
          <w:sz w:val="24"/>
        </w:rPr>
      </w:pPr>
      <w:r>
        <w:rPr>
          <w:sz w:val="24"/>
        </w:rPr>
        <w:t>交易所上市交易的股份有限公司。</w:t>
      </w:r>
      <w:r>
        <w:rPr>
          <w:b/>
          <w:sz w:val="24"/>
        </w:rPr>
        <w:t>五、配套管理措施</w:t>
      </w:r>
    </w:p>
    <w:p>
      <w:pPr>
        <w:pStyle w:val="3"/>
        <w:spacing w:line="364" w:lineRule="auto"/>
        <w:ind w:right="1797" w:firstLine="480"/>
        <w:jc w:val="both"/>
      </w:pPr>
      <w:r>
        <w:t>（一</w:t>
      </w:r>
      <w:r>
        <w:rPr>
          <w:spacing w:val="-48"/>
        </w:rPr>
        <w:t>）</w:t>
      </w:r>
      <w:r>
        <w:rPr>
          <w:spacing w:val="-3"/>
        </w:rPr>
        <w:t>对股权激励或技术成果投资入股选择适用递延纳税政策的，企业应在</w:t>
      </w:r>
      <w:r>
        <w:rPr>
          <w:spacing w:val="-6"/>
        </w:rPr>
        <w:t>规定期限内到主管税务机关办理备案手续。未办理备案手续的，不得享受本通知</w:t>
      </w:r>
      <w:r>
        <w:t>规定的递延纳税优惠政策。</w:t>
      </w:r>
    </w:p>
    <w:p>
      <w:pPr>
        <w:pStyle w:val="3"/>
        <w:spacing w:before="2" w:line="364" w:lineRule="auto"/>
        <w:ind w:right="1797" w:firstLine="480"/>
        <w:jc w:val="both"/>
      </w:pPr>
      <w:r>
        <w:t>（二</w:t>
      </w:r>
      <w:r>
        <w:rPr>
          <w:spacing w:val="-48"/>
        </w:rPr>
        <w:t>）</w:t>
      </w:r>
      <w:r>
        <w:rPr>
          <w:spacing w:val="-4"/>
        </w:rPr>
        <w:t>企业实施股权激励或个人以技术成果投资入股，以实施股权激励或取</w:t>
      </w:r>
      <w:r>
        <w:rPr>
          <w:spacing w:val="-6"/>
        </w:rPr>
        <w:t>得技术成果的企业为个人所得税扣缴义务人。递延纳税期间，扣缴义务人应在每</w:t>
      </w:r>
      <w:r>
        <w:t>个纳税年度终了后向主管税务机关报告递延纳税有关情况。</w:t>
      </w:r>
    </w:p>
    <w:p>
      <w:pPr>
        <w:pStyle w:val="3"/>
        <w:spacing w:before="2" w:line="364" w:lineRule="auto"/>
        <w:ind w:right="1797" w:firstLine="480"/>
        <w:jc w:val="both"/>
      </w:pPr>
      <w:r>
        <w:t>（三</w:t>
      </w:r>
      <w:r>
        <w:rPr>
          <w:spacing w:val="-48"/>
        </w:rPr>
        <w:t>）</w:t>
      </w:r>
      <w:r>
        <w:rPr>
          <w:spacing w:val="-3"/>
        </w:rPr>
        <w:t>工商部门应将企业股权变更信息及时与税务部门共享，暂不具备联网</w:t>
      </w:r>
      <w:r>
        <w:rPr>
          <w:spacing w:val="-13"/>
        </w:rPr>
        <w:t xml:space="preserve">实时共享信息条件的，工商部门应在股权变更登记 </w:t>
      </w:r>
      <w:r>
        <w:rPr>
          <w:rFonts w:ascii="Calibri" w:eastAsia="Calibri"/>
        </w:rPr>
        <w:t xml:space="preserve">3 </w:t>
      </w:r>
      <w:r>
        <w:rPr>
          <w:spacing w:val="-2"/>
        </w:rPr>
        <w:t>个工作日内将信息与税务部</w:t>
      </w:r>
      <w:r>
        <w:t>门共享。</w:t>
      </w:r>
    </w:p>
    <w:p>
      <w:pPr>
        <w:spacing w:before="1"/>
        <w:ind w:left="2280" w:right="0" w:firstLine="0"/>
        <w:jc w:val="both"/>
        <w:rPr>
          <w:b/>
          <w:sz w:val="24"/>
        </w:rPr>
      </w:pPr>
      <w:r>
        <w:rPr>
          <w:b/>
          <w:sz w:val="24"/>
        </w:rPr>
        <w:t xml:space="preserve">六、本通知自 </w:t>
      </w:r>
      <w:r>
        <w:rPr>
          <w:rFonts w:ascii="Calibri" w:eastAsia="Calibri"/>
          <w:b/>
          <w:sz w:val="24"/>
        </w:rPr>
        <w:t xml:space="preserve">2016 </w:t>
      </w:r>
      <w:r>
        <w:rPr>
          <w:b/>
          <w:sz w:val="24"/>
        </w:rPr>
        <w:t xml:space="preserve">年 </w:t>
      </w:r>
      <w:r>
        <w:rPr>
          <w:rFonts w:ascii="Calibri" w:eastAsia="Calibri"/>
          <w:b/>
          <w:sz w:val="24"/>
        </w:rPr>
        <w:t xml:space="preserve">9 </w:t>
      </w:r>
      <w:r>
        <w:rPr>
          <w:b/>
          <w:sz w:val="24"/>
        </w:rPr>
        <w:t xml:space="preserve">月 </w:t>
      </w:r>
      <w:r>
        <w:rPr>
          <w:rFonts w:ascii="Calibri" w:eastAsia="Calibri"/>
          <w:b/>
          <w:sz w:val="24"/>
        </w:rPr>
        <w:t xml:space="preserve">1 </w:t>
      </w:r>
      <w:r>
        <w:rPr>
          <w:b/>
          <w:sz w:val="24"/>
        </w:rPr>
        <w:t>日起施行。</w:t>
      </w:r>
    </w:p>
    <w:p>
      <w:pPr>
        <w:spacing w:after="0"/>
        <w:jc w:val="both"/>
        <w:rPr>
          <w:sz w:val="24"/>
        </w:rPr>
        <w:sectPr>
          <w:pgSz w:w="11910" w:h="16840"/>
          <w:pgMar w:top="1540" w:right="0" w:bottom="1380" w:left="0" w:header="965" w:footer="1182" w:gutter="0"/>
          <w:cols w:space="720" w:num="1"/>
        </w:sectPr>
      </w:pPr>
    </w:p>
    <w:p>
      <w:pPr>
        <w:pStyle w:val="3"/>
        <w:spacing w:before="2"/>
        <w:ind w:left="0"/>
        <w:rPr>
          <w:b/>
          <w:sz w:val="12"/>
        </w:rPr>
      </w:pPr>
    </w:p>
    <w:p>
      <w:pPr>
        <w:pStyle w:val="3"/>
        <w:spacing w:before="67" w:line="364" w:lineRule="auto"/>
        <w:ind w:left="1799" w:right="1705" w:firstLine="480"/>
        <w:jc w:val="both"/>
      </w:pPr>
      <w:r>
        <w:rPr>
          <w:spacing w:val="-6"/>
        </w:rPr>
        <w:t xml:space="preserve">中关村国家自主创新示范区 </w:t>
      </w:r>
      <w:r>
        <w:rPr>
          <w:rFonts w:ascii="Calibri" w:eastAsia="Calibri"/>
        </w:rPr>
        <w:t xml:space="preserve">2016 </w:t>
      </w:r>
      <w:r>
        <w:rPr>
          <w:spacing w:val="-35"/>
        </w:rPr>
        <w:t xml:space="preserve">年 </w:t>
      </w:r>
      <w:r>
        <w:rPr>
          <w:rFonts w:ascii="Calibri" w:eastAsia="Calibri"/>
        </w:rPr>
        <w:t xml:space="preserve">1 </w:t>
      </w:r>
      <w:r>
        <w:rPr>
          <w:spacing w:val="-36"/>
        </w:rPr>
        <w:t xml:space="preserve">月 </w:t>
      </w:r>
      <w:r>
        <w:rPr>
          <w:rFonts w:ascii="Calibri" w:eastAsia="Calibri"/>
        </w:rPr>
        <w:t xml:space="preserve">1 </w:t>
      </w:r>
      <w:r>
        <w:rPr>
          <w:spacing w:val="-25"/>
        </w:rPr>
        <w:t xml:space="preserve">日至 </w:t>
      </w:r>
      <w:r>
        <w:rPr>
          <w:rFonts w:ascii="Calibri" w:eastAsia="Calibri"/>
        </w:rPr>
        <w:t xml:space="preserve">8 </w:t>
      </w:r>
      <w:r>
        <w:rPr>
          <w:spacing w:val="-35"/>
        </w:rPr>
        <w:t xml:space="preserve">月 </w:t>
      </w:r>
      <w:r>
        <w:rPr>
          <w:rFonts w:ascii="Calibri" w:eastAsia="Calibri"/>
        </w:rPr>
        <w:t xml:space="preserve">31 </w:t>
      </w:r>
      <w:r>
        <w:t>日之间发生的尚未纳</w:t>
      </w:r>
      <w:r>
        <w:rPr>
          <w:spacing w:val="-1"/>
        </w:rPr>
        <w:t>税的股权奖励事项，符合本通知规定的相关条件的，可按本通知有关政策执行。</w:t>
      </w:r>
    </w:p>
    <w:p>
      <w:pPr>
        <w:pStyle w:val="3"/>
        <w:spacing w:before="11" w:line="338" w:lineRule="auto"/>
        <w:ind w:right="1795" w:firstLine="480"/>
        <w:jc w:val="both"/>
        <w:outlineLvl w:val="2"/>
        <w:rPr>
          <w:rFonts w:hint="eastAsia" w:ascii="微软雅黑" w:eastAsia="微软雅黑"/>
        </w:rPr>
      </w:pPr>
      <w:bookmarkStart w:id="46" w:name="_bookmark26"/>
      <w:bookmarkEnd w:id="46"/>
      <w:r>
        <w:rPr>
          <w:rFonts w:hint="eastAsia" w:ascii="微软雅黑" w:eastAsia="微软雅黑"/>
          <w:color w:val="333333"/>
          <w:spacing w:val="-10"/>
        </w:rPr>
        <w:t>2</w:t>
      </w:r>
      <w:r>
        <w:rPr>
          <w:rFonts w:hint="eastAsia" w:ascii="微软雅黑" w:eastAsia="微软雅黑"/>
          <w:color w:val="333333"/>
          <w:spacing w:val="-5"/>
        </w:rPr>
        <w:t>.《国家税务总局关于股权激励和技术入股所得税征管问题的公告》</w:t>
      </w:r>
      <w:r>
        <w:rPr>
          <w:rFonts w:hint="eastAsia" w:ascii="微软雅黑" w:eastAsia="微软雅黑"/>
          <w:color w:val="333333"/>
        </w:rPr>
        <w:t>（</w:t>
      </w:r>
      <w:r>
        <w:rPr>
          <w:rFonts w:hint="eastAsia" w:ascii="微软雅黑" w:eastAsia="微软雅黑"/>
          <w:color w:val="333333"/>
          <w:spacing w:val="-8"/>
        </w:rPr>
        <w:t>国家</w:t>
      </w:r>
      <w:r>
        <w:rPr>
          <w:rFonts w:hint="eastAsia" w:ascii="微软雅黑" w:eastAsia="微软雅黑"/>
          <w:color w:val="333333"/>
          <w:spacing w:val="-2"/>
        </w:rPr>
        <w:t xml:space="preserve">税务总局公告 </w:t>
      </w:r>
      <w:r>
        <w:rPr>
          <w:rFonts w:hint="eastAsia" w:ascii="微软雅黑" w:eastAsia="微软雅黑"/>
          <w:color w:val="333333"/>
        </w:rPr>
        <w:t>2016</w:t>
      </w:r>
      <w:r>
        <w:rPr>
          <w:rFonts w:hint="eastAsia" w:ascii="微软雅黑" w:eastAsia="微软雅黑"/>
          <w:color w:val="333333"/>
          <w:spacing w:val="-7"/>
        </w:rPr>
        <w:t xml:space="preserve"> 年第 </w:t>
      </w:r>
      <w:r>
        <w:rPr>
          <w:rFonts w:hint="eastAsia" w:ascii="微软雅黑" w:eastAsia="微软雅黑"/>
          <w:color w:val="333333"/>
        </w:rPr>
        <w:t>62</w:t>
      </w:r>
      <w:r>
        <w:rPr>
          <w:rFonts w:hint="eastAsia" w:ascii="微软雅黑" w:eastAsia="微软雅黑"/>
          <w:color w:val="333333"/>
          <w:spacing w:val="-6"/>
        </w:rPr>
        <w:t xml:space="preserve"> 号</w:t>
      </w:r>
      <w:r>
        <w:rPr>
          <w:rFonts w:hint="eastAsia" w:ascii="微软雅黑" w:eastAsia="微软雅黑"/>
          <w:color w:val="333333"/>
        </w:rPr>
        <w:t>）</w:t>
      </w:r>
    </w:p>
    <w:p>
      <w:pPr>
        <w:pStyle w:val="3"/>
        <w:spacing w:before="0" w:line="364" w:lineRule="auto"/>
        <w:ind w:right="1785" w:firstLine="480"/>
        <w:jc w:val="both"/>
      </w:pPr>
      <w:r>
        <w:t>为贯彻落实《财政部 国家税务总局关于完善股权激励和技术入股有关所得</w:t>
      </w:r>
      <w:r>
        <w:rPr>
          <w:spacing w:val="-2"/>
        </w:rPr>
        <w:t>税政策的通知》</w:t>
      </w:r>
      <w:r>
        <w:t>（</w:t>
      </w:r>
      <w:r>
        <w:rPr>
          <w:spacing w:val="-2"/>
        </w:rPr>
        <w:t>财税〔</w:t>
      </w:r>
      <w:r>
        <w:rPr>
          <w:rFonts w:ascii="Calibri" w:eastAsia="Calibri"/>
        </w:rPr>
        <w:t>2016</w:t>
      </w:r>
      <w:r>
        <w:rPr>
          <w:spacing w:val="-5"/>
        </w:rPr>
        <w:t>〕</w:t>
      </w:r>
      <w:r>
        <w:rPr>
          <w:rFonts w:ascii="Calibri" w:eastAsia="Calibri"/>
        </w:rPr>
        <w:t xml:space="preserve">101 </w:t>
      </w:r>
      <w:r>
        <w:rPr>
          <w:spacing w:val="-4"/>
        </w:rPr>
        <w:t>号，以下简称《通知》</w:t>
      </w:r>
      <w:r>
        <w:rPr>
          <w:spacing w:val="-5"/>
        </w:rPr>
        <w:t>），</w:t>
      </w:r>
      <w:r>
        <w:t>现就股权激励和技术入股有关所得税征管问题公告如下：</w:t>
      </w:r>
    </w:p>
    <w:p>
      <w:pPr>
        <w:spacing w:before="0"/>
        <w:ind w:left="2280" w:right="0" w:firstLine="0"/>
        <w:jc w:val="left"/>
        <w:rPr>
          <w:b/>
          <w:sz w:val="24"/>
        </w:rPr>
      </w:pPr>
      <w:r>
        <w:rPr>
          <w:b/>
          <w:sz w:val="24"/>
        </w:rPr>
        <w:t>一、关于个人所得税征管问题</w:t>
      </w:r>
    </w:p>
    <w:p>
      <w:pPr>
        <w:pStyle w:val="3"/>
        <w:spacing w:before="153" w:line="364" w:lineRule="auto"/>
        <w:ind w:right="1797" w:firstLine="448"/>
        <w:jc w:val="both"/>
      </w:pPr>
      <w:r>
        <w:t>（一</w:t>
      </w:r>
      <w:r>
        <w:rPr>
          <w:spacing w:val="-34"/>
        </w:rPr>
        <w:t>）</w:t>
      </w:r>
      <w:r>
        <w:rPr>
          <w:spacing w:val="-5"/>
        </w:rPr>
        <w:t xml:space="preserve">非上市公司实施符合条件的股权激励，本公司最近 </w:t>
      </w:r>
      <w:r>
        <w:rPr>
          <w:rFonts w:ascii="Calibri" w:hAnsi="Calibri" w:eastAsia="Calibri"/>
        </w:rPr>
        <w:t xml:space="preserve">6 </w:t>
      </w:r>
      <w:r>
        <w:rPr>
          <w:spacing w:val="-3"/>
        </w:rPr>
        <w:t>个月在职职工平</w:t>
      </w:r>
      <w:r>
        <w:rPr>
          <w:spacing w:val="-6"/>
        </w:rPr>
        <w:t>均人数，按照股票</w:t>
      </w:r>
      <w:r>
        <w:rPr>
          <w:spacing w:val="-3"/>
        </w:rPr>
        <w:t>（</w:t>
      </w:r>
      <w:r>
        <w:t>权</w:t>
      </w:r>
      <w:r>
        <w:rPr>
          <w:spacing w:val="-20"/>
        </w:rPr>
        <w:t>）</w:t>
      </w:r>
      <w:r>
        <w:rPr>
          <w:spacing w:val="-7"/>
        </w:rPr>
        <w:t>期权行权、限制性股票解禁、股权奖励获得之上月起前</w:t>
      </w:r>
      <w:r>
        <w:rPr>
          <w:rFonts w:ascii="Calibri" w:hAnsi="Calibri" w:eastAsia="Calibri"/>
        </w:rPr>
        <w:t>6</w:t>
      </w:r>
      <w:r>
        <w:rPr>
          <w:rFonts w:ascii="Calibri" w:hAnsi="Calibri" w:eastAsia="Calibri"/>
          <w:spacing w:val="4"/>
        </w:rPr>
        <w:t xml:space="preserve"> </w:t>
      </w:r>
      <w:r>
        <w:t>个月</w:t>
      </w:r>
      <w:r>
        <w:rPr>
          <w:rFonts w:ascii="Calibri" w:hAnsi="Calibri" w:eastAsia="Calibri"/>
        </w:rPr>
        <w:t>“</w:t>
      </w:r>
      <w:r>
        <w:t>工资薪金所得</w:t>
      </w:r>
      <w:r>
        <w:rPr>
          <w:rFonts w:ascii="Calibri" w:hAnsi="Calibri" w:eastAsia="Calibri"/>
        </w:rPr>
        <w:t>”</w:t>
      </w:r>
      <w:r>
        <w:t>项目全员全额扣缴明细申报的平均人数确定。</w:t>
      </w:r>
    </w:p>
    <w:p>
      <w:pPr>
        <w:pStyle w:val="3"/>
        <w:spacing w:before="2" w:line="364" w:lineRule="auto"/>
        <w:ind w:right="1797" w:firstLine="465"/>
        <w:jc w:val="both"/>
      </w:pPr>
      <w:r>
        <w:pict>
          <v:shape id="_x0000_s1121" o:spid="_x0000_s1121" o:spt="136" type="#_x0000_t136" style="position:absolute;left:0pt;margin-left:41.25pt;margin-top:0.7pt;height:132pt;width:528.05pt;mso-position-horizontal-relative:page;rotation:20643840f;z-index:-251558912;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spacing w:val="-3"/>
        </w:rPr>
        <w:t>（</w:t>
      </w:r>
      <w:r>
        <w:t>二</w:t>
      </w:r>
      <w:r>
        <w:rPr>
          <w:spacing w:val="-15"/>
        </w:rPr>
        <w:t>）</w:t>
      </w:r>
      <w:r>
        <w:rPr>
          <w:spacing w:val="-7"/>
        </w:rPr>
        <w:t>递延纳税期间，非上市公司情况发生变化，不再同时符合《通知》第</w:t>
      </w:r>
      <w:r>
        <w:t>一条第（二）</w:t>
      </w:r>
      <w:r>
        <w:rPr>
          <w:spacing w:val="-20"/>
        </w:rPr>
        <w:t xml:space="preserve">款第 </w:t>
      </w:r>
      <w:r>
        <w:rPr>
          <w:rFonts w:ascii="Calibri" w:eastAsia="Calibri"/>
        </w:rPr>
        <w:t xml:space="preserve">4 </w:t>
      </w:r>
      <w:r>
        <w:rPr>
          <w:spacing w:val="-29"/>
        </w:rPr>
        <w:t xml:space="preserve">至 </w:t>
      </w:r>
      <w:r>
        <w:rPr>
          <w:rFonts w:ascii="Calibri" w:eastAsia="Calibri"/>
        </w:rPr>
        <w:t xml:space="preserve">6 </w:t>
      </w:r>
      <w:r>
        <w:rPr>
          <w:spacing w:val="-4"/>
        </w:rPr>
        <w:t xml:space="preserve">项条件的，应于情况发生变化之次月 </w:t>
      </w:r>
      <w:r>
        <w:rPr>
          <w:rFonts w:ascii="Calibri" w:eastAsia="Calibri"/>
        </w:rPr>
        <w:t xml:space="preserve">15 </w:t>
      </w:r>
      <w:r>
        <w:rPr>
          <w:spacing w:val="-3"/>
        </w:rPr>
        <w:t>日内，按《通</w:t>
      </w:r>
      <w:r>
        <w:t>知》第四条第（一）款规定计算缴纳个人所得税。</w:t>
      </w:r>
    </w:p>
    <w:p>
      <w:pPr>
        <w:pStyle w:val="3"/>
        <w:spacing w:line="364" w:lineRule="auto"/>
        <w:ind w:right="1675" w:firstLine="427"/>
      </w:pPr>
      <w:r>
        <w:rPr>
          <w:spacing w:val="-3"/>
        </w:rPr>
        <w:t>（</w:t>
      </w:r>
      <w:r>
        <w:t>三</w:t>
      </w:r>
      <w:r>
        <w:rPr>
          <w:spacing w:val="-53"/>
        </w:rPr>
        <w:t>）</w:t>
      </w:r>
      <w:r>
        <w:rPr>
          <w:spacing w:val="-4"/>
        </w:rPr>
        <w:t>员工以在一个公历月份中取得的股票</w:t>
      </w:r>
      <w:r>
        <w:rPr>
          <w:spacing w:val="-3"/>
        </w:rPr>
        <w:t>（</w:t>
      </w:r>
      <w:r>
        <w:t>权</w:t>
      </w:r>
      <w:r>
        <w:rPr>
          <w:spacing w:val="-53"/>
        </w:rPr>
        <w:t>）</w:t>
      </w:r>
      <w:r>
        <w:rPr>
          <w:spacing w:val="-2"/>
        </w:rPr>
        <w:t>形式工资薪金所得为一次。</w:t>
      </w:r>
      <w:r>
        <w:rPr>
          <w:spacing w:val="-8"/>
        </w:rPr>
        <w:t>员工取得符合条件、实行递延纳税政策的股权激励，与不符合递延纳税条件的股权激励分别计算。</w:t>
      </w:r>
    </w:p>
    <w:p>
      <w:pPr>
        <w:pStyle w:val="3"/>
        <w:spacing w:before="2" w:line="364" w:lineRule="auto"/>
        <w:ind w:right="1797" w:firstLine="480"/>
        <w:jc w:val="both"/>
      </w:pPr>
      <w:r>
        <w:rPr>
          <w:spacing w:val="-2"/>
        </w:rPr>
        <w:t>员工在一个纳税年度中多次取得不符合递延纳税条件的股票</w:t>
      </w:r>
      <w:r>
        <w:t>（权</w:t>
      </w:r>
      <w:r>
        <w:rPr>
          <w:spacing w:val="-46"/>
        </w:rPr>
        <w:t>）</w:t>
      </w:r>
      <w:r>
        <w:rPr>
          <w:spacing w:val="-5"/>
        </w:rPr>
        <w:t>形式工资</w:t>
      </w:r>
      <w:r>
        <w:rPr>
          <w:spacing w:val="-11"/>
        </w:rPr>
        <w:t>薪金所得的，参照《国家税务总局关于个人股票期权所得缴纳个人所得税有关问</w:t>
      </w:r>
      <w:r>
        <w:t>题的补充通知》（国税函〔</w:t>
      </w:r>
      <w:r>
        <w:rPr>
          <w:rFonts w:ascii="Calibri" w:eastAsia="Calibri"/>
        </w:rPr>
        <w:t>2006</w:t>
      </w:r>
      <w:r>
        <w:t>〕</w:t>
      </w:r>
      <w:r>
        <w:rPr>
          <w:rFonts w:ascii="Calibri" w:eastAsia="Calibri"/>
        </w:rPr>
        <w:t xml:space="preserve">902 </w:t>
      </w:r>
      <w:r>
        <w:t>号）第七条规定执行。</w:t>
      </w:r>
    </w:p>
    <w:p>
      <w:pPr>
        <w:pStyle w:val="3"/>
        <w:spacing w:before="2"/>
        <w:ind w:left="2280"/>
      </w:pPr>
      <w:r>
        <w:t>（四）《通知》所称公平市场价格按以下方法确定：</w:t>
      </w:r>
    </w:p>
    <w:p>
      <w:pPr>
        <w:pStyle w:val="8"/>
        <w:numPr>
          <w:ilvl w:val="0"/>
          <w:numId w:val="92"/>
        </w:numPr>
        <w:tabs>
          <w:tab w:val="left" w:pos="2464"/>
        </w:tabs>
        <w:spacing w:before="161" w:after="0" w:line="364" w:lineRule="auto"/>
        <w:ind w:left="1800" w:right="1795" w:firstLine="480"/>
        <w:jc w:val="left"/>
        <w:rPr>
          <w:rFonts w:hint="eastAsia" w:ascii="宋体" w:eastAsia="宋体"/>
          <w:sz w:val="24"/>
        </w:rPr>
      </w:pPr>
      <w:r>
        <w:rPr>
          <w:rFonts w:hint="eastAsia" w:ascii="宋体" w:eastAsia="宋体"/>
          <w:spacing w:val="-4"/>
          <w:sz w:val="24"/>
        </w:rPr>
        <w:t>上市公司股票的公平市场价格，按照取得股票当日的收盘价确定。取得股</w:t>
      </w:r>
      <w:r>
        <w:rPr>
          <w:rFonts w:hint="eastAsia" w:ascii="宋体" w:eastAsia="宋体"/>
          <w:sz w:val="24"/>
        </w:rPr>
        <w:t>票当日为非交易日的，按照上一个交易日收盘价确定。</w:t>
      </w:r>
    </w:p>
    <w:p>
      <w:pPr>
        <w:pStyle w:val="8"/>
        <w:numPr>
          <w:ilvl w:val="0"/>
          <w:numId w:val="92"/>
        </w:numPr>
        <w:tabs>
          <w:tab w:val="left" w:pos="2464"/>
        </w:tabs>
        <w:spacing w:before="1" w:after="0" w:line="364" w:lineRule="auto"/>
        <w:ind w:left="1800" w:right="1795" w:firstLine="480"/>
        <w:jc w:val="left"/>
        <w:rPr>
          <w:rFonts w:hint="eastAsia" w:ascii="宋体" w:eastAsia="宋体"/>
          <w:sz w:val="24"/>
        </w:rPr>
      </w:pPr>
      <w:r>
        <w:rPr>
          <w:rFonts w:hint="eastAsia" w:ascii="宋体" w:eastAsia="宋体"/>
          <w:spacing w:val="-2"/>
          <w:sz w:val="24"/>
        </w:rPr>
        <w:t>非上市公司股票</w:t>
      </w:r>
      <w:r>
        <w:rPr>
          <w:rFonts w:hint="eastAsia" w:ascii="宋体" w:eastAsia="宋体"/>
          <w:sz w:val="24"/>
        </w:rPr>
        <w:t>（权</w:t>
      </w:r>
      <w:r>
        <w:rPr>
          <w:rFonts w:hint="eastAsia" w:ascii="宋体" w:eastAsia="宋体"/>
          <w:spacing w:val="-8"/>
          <w:sz w:val="24"/>
        </w:rPr>
        <w:t>）</w:t>
      </w:r>
      <w:r>
        <w:rPr>
          <w:rFonts w:hint="eastAsia" w:ascii="宋体" w:eastAsia="宋体"/>
          <w:spacing w:val="-4"/>
          <w:sz w:val="24"/>
        </w:rPr>
        <w:t>的公平市场价格，依次按照净资产法、类比法和其</w:t>
      </w:r>
      <w:r>
        <w:rPr>
          <w:rFonts w:hint="eastAsia" w:ascii="宋体" w:eastAsia="宋体"/>
          <w:sz w:val="24"/>
        </w:rPr>
        <w:t>他合理方法确定。净资产法按照取得股票（权）的上年末净资产确定。</w:t>
      </w:r>
    </w:p>
    <w:p>
      <w:pPr>
        <w:pStyle w:val="3"/>
        <w:ind w:left="2280"/>
      </w:pPr>
      <w:r>
        <w:t>（五）企业备案具体按以下规定执行：</w:t>
      </w:r>
    </w:p>
    <w:p>
      <w:pPr>
        <w:pStyle w:val="8"/>
        <w:numPr>
          <w:ilvl w:val="0"/>
          <w:numId w:val="93"/>
        </w:numPr>
        <w:tabs>
          <w:tab w:val="left" w:pos="2464"/>
        </w:tabs>
        <w:spacing w:before="160" w:after="0" w:line="364" w:lineRule="auto"/>
        <w:ind w:left="1800" w:right="1795" w:firstLine="480"/>
        <w:jc w:val="left"/>
        <w:rPr>
          <w:rFonts w:hint="eastAsia" w:ascii="宋体" w:eastAsia="宋体"/>
          <w:sz w:val="24"/>
        </w:rPr>
      </w:pPr>
      <w:r>
        <w:rPr>
          <w:rFonts w:hint="eastAsia" w:ascii="宋体" w:eastAsia="宋体"/>
          <w:spacing w:val="-4"/>
          <w:sz w:val="24"/>
        </w:rPr>
        <w:t>非上市公司实施符合条件的股权激励，个人选择递延纳税的，非上市公司</w:t>
      </w:r>
      <w:r>
        <w:rPr>
          <w:rFonts w:hint="eastAsia" w:ascii="宋体" w:eastAsia="宋体"/>
          <w:sz w:val="24"/>
        </w:rPr>
        <w:t>应于股票（权）</w:t>
      </w:r>
      <w:r>
        <w:rPr>
          <w:rFonts w:hint="eastAsia" w:ascii="宋体" w:eastAsia="宋体"/>
          <w:spacing w:val="-3"/>
          <w:sz w:val="24"/>
        </w:rPr>
        <w:t xml:space="preserve">期权行权、限制性股票解禁、股权奖励获得之次月 </w:t>
      </w:r>
      <w:r>
        <w:rPr>
          <w:rFonts w:ascii="Calibri" w:eastAsia="Calibri"/>
          <w:sz w:val="24"/>
        </w:rPr>
        <w:t>15</w:t>
      </w:r>
      <w:r>
        <w:rPr>
          <w:rFonts w:ascii="Calibri" w:eastAsia="Calibri"/>
          <w:spacing w:val="12"/>
          <w:sz w:val="24"/>
        </w:rPr>
        <w:t xml:space="preserve"> </w:t>
      </w:r>
      <w:r>
        <w:rPr>
          <w:rFonts w:hint="eastAsia" w:ascii="宋体" w:eastAsia="宋体"/>
          <w:spacing w:val="-3"/>
          <w:sz w:val="24"/>
        </w:rPr>
        <w:t>日内，向</w:t>
      </w:r>
    </w:p>
    <w:p>
      <w:pPr>
        <w:spacing w:after="0" w:line="364" w:lineRule="auto"/>
        <w:jc w:val="left"/>
        <w:rPr>
          <w:rFonts w:hint="eastAsia" w:ascii="宋体" w:eastAsia="宋体"/>
          <w:sz w:val="24"/>
        </w:rPr>
        <w:sectPr>
          <w:footerReference r:id="rId15" w:type="default"/>
          <w:pgSz w:w="11910" w:h="16840"/>
          <w:pgMar w:top="1540" w:right="0" w:bottom="1380" w:left="0" w:header="965" w:footer="1182" w:gutter="0"/>
          <w:pgNumType w:start="90"/>
          <w:cols w:space="720" w:num="1"/>
        </w:sectPr>
      </w:pPr>
    </w:p>
    <w:p>
      <w:pPr>
        <w:pStyle w:val="3"/>
        <w:spacing w:before="2"/>
        <w:ind w:left="0"/>
        <w:rPr>
          <w:sz w:val="12"/>
        </w:rPr>
      </w:pPr>
    </w:p>
    <w:p>
      <w:pPr>
        <w:pStyle w:val="3"/>
        <w:spacing w:before="67" w:line="364" w:lineRule="auto"/>
        <w:ind w:right="1677"/>
      </w:pPr>
      <w:r>
        <w:rPr>
          <w:spacing w:val="-10"/>
        </w:rPr>
        <w:t>主管税务机关报送《非上市公司股权激励个人所得税递延纳税备案表</w:t>
      </w:r>
      <w:r>
        <w:rPr>
          <w:spacing w:val="-183"/>
        </w:rPr>
        <w:t>》</w:t>
      </w:r>
      <w:r>
        <w:rPr>
          <w:spacing w:val="-3"/>
        </w:rPr>
        <w:t>（</w:t>
      </w:r>
      <w:r>
        <w:rPr>
          <w:spacing w:val="-20"/>
        </w:rPr>
        <w:t xml:space="preserve">附件 </w:t>
      </w:r>
      <w:r>
        <w:rPr>
          <w:rFonts w:ascii="Calibri" w:eastAsia="Calibri"/>
        </w:rPr>
        <w:t>1</w:t>
      </w:r>
      <w:r>
        <w:rPr>
          <w:spacing w:val="-120"/>
        </w:rPr>
        <w:t>）</w:t>
      </w:r>
      <w:r>
        <w:rPr>
          <w:spacing w:val="-15"/>
        </w:rPr>
        <w:t>、</w:t>
      </w:r>
      <w:r>
        <w:rPr>
          <w:spacing w:val="-10"/>
        </w:rPr>
        <w:t>股权激励计划、董事会或股东大会决议、激励对象任职或从事技术工作情况说明</w:t>
      </w:r>
      <w:r>
        <w:rPr>
          <w:spacing w:val="-11"/>
        </w:rPr>
        <w:t>等。实施股权奖励的企业同时报送本企业及其奖励股权标的企业上一纳税年度主营业务收入构成情况说明。</w:t>
      </w:r>
    </w:p>
    <w:p>
      <w:pPr>
        <w:pStyle w:val="8"/>
        <w:numPr>
          <w:ilvl w:val="0"/>
          <w:numId w:val="93"/>
        </w:numPr>
        <w:tabs>
          <w:tab w:val="left" w:pos="2470"/>
        </w:tabs>
        <w:spacing w:before="2" w:after="0" w:line="240" w:lineRule="auto"/>
        <w:ind w:left="2469" w:right="0" w:hanging="186"/>
        <w:jc w:val="both"/>
        <w:rPr>
          <w:rFonts w:hint="eastAsia" w:ascii="宋体" w:eastAsia="宋体"/>
          <w:sz w:val="24"/>
        </w:rPr>
      </w:pPr>
      <w:r>
        <w:rPr>
          <w:rFonts w:hint="eastAsia" w:ascii="宋体" w:eastAsia="宋体"/>
          <w:spacing w:val="-3"/>
          <w:sz w:val="24"/>
        </w:rPr>
        <w:t xml:space="preserve">上市公司实施股权激励，个人选择在不超过 </w:t>
      </w:r>
      <w:r>
        <w:rPr>
          <w:rFonts w:ascii="Calibri" w:eastAsia="Calibri"/>
          <w:sz w:val="24"/>
        </w:rPr>
        <w:t>12</w:t>
      </w:r>
      <w:r>
        <w:rPr>
          <w:rFonts w:ascii="Calibri" w:eastAsia="Calibri"/>
          <w:spacing w:val="8"/>
          <w:sz w:val="24"/>
        </w:rPr>
        <w:t xml:space="preserve"> </w:t>
      </w:r>
      <w:r>
        <w:rPr>
          <w:rFonts w:hint="eastAsia" w:ascii="宋体" w:eastAsia="宋体"/>
          <w:sz w:val="24"/>
        </w:rPr>
        <w:t>个月期限内缴税的，上市</w:t>
      </w:r>
    </w:p>
    <w:p>
      <w:pPr>
        <w:pStyle w:val="3"/>
        <w:spacing w:before="161" w:line="364" w:lineRule="auto"/>
        <w:ind w:right="1761"/>
        <w:jc w:val="both"/>
      </w:pPr>
      <w:r>
        <w:rPr>
          <w:spacing w:val="-2"/>
        </w:rPr>
        <w:t xml:space="preserve">公司应自股票期权行权、限制性股票解禁、股权奖励获得之次月 </w:t>
      </w:r>
      <w:r>
        <w:rPr>
          <w:rFonts w:ascii="Calibri" w:eastAsia="Calibri"/>
        </w:rPr>
        <w:t xml:space="preserve">15 </w:t>
      </w:r>
      <w:r>
        <w:t>日内，向主管税务机关报送《上市公司股权激励个人所得税延期纳税备案表》（</w:t>
      </w:r>
      <w:r>
        <w:rPr>
          <w:spacing w:val="-20"/>
        </w:rPr>
        <w:t xml:space="preserve">附件 </w:t>
      </w:r>
      <w:r>
        <w:rPr>
          <w:rFonts w:ascii="Calibri" w:eastAsia="Calibri"/>
        </w:rPr>
        <w:t>2</w:t>
      </w:r>
      <w:r>
        <w:t>）</w:t>
      </w:r>
      <w:r>
        <w:rPr>
          <w:spacing w:val="-17"/>
        </w:rPr>
        <w:t>。</w:t>
      </w:r>
      <w:r>
        <w:t>上市公司初次办理股权激励备案时，还应一并向主管税务机关报送股权激励计划、董事会或股东大会决议。</w:t>
      </w:r>
    </w:p>
    <w:p>
      <w:pPr>
        <w:pStyle w:val="8"/>
        <w:numPr>
          <w:ilvl w:val="0"/>
          <w:numId w:val="93"/>
        </w:numPr>
        <w:tabs>
          <w:tab w:val="left" w:pos="2464"/>
        </w:tabs>
        <w:spacing w:before="2" w:after="0" w:line="364" w:lineRule="auto"/>
        <w:ind w:left="1800" w:right="1792" w:firstLine="480"/>
        <w:jc w:val="both"/>
        <w:rPr>
          <w:rFonts w:hint="eastAsia" w:ascii="宋体" w:eastAsia="宋体"/>
          <w:sz w:val="24"/>
        </w:rPr>
      </w:pPr>
      <w:r>
        <w:pict>
          <v:shape id="_x0000_s1122" o:spid="_x0000_s1122" o:spt="136" type="#_x0000_t136" style="position:absolute;left:0pt;margin-left:41.25pt;margin-top:63.1pt;height:132pt;width:528.05pt;mso-position-horizontal-relative:page;rotation:20643840f;z-index:-251557888;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rPr>
          <w:rFonts w:hint="eastAsia" w:ascii="宋体" w:eastAsia="宋体"/>
          <w:spacing w:val="-4"/>
          <w:sz w:val="24"/>
        </w:rPr>
        <w:t xml:space="preserve">个人以技术成果投资入股境内公司并选择递延纳税的，被投资公司应于取得技术成果并支付股权之次月 </w:t>
      </w:r>
      <w:r>
        <w:rPr>
          <w:rFonts w:ascii="Calibri" w:eastAsia="Calibri"/>
          <w:sz w:val="24"/>
        </w:rPr>
        <w:t>15</w:t>
      </w:r>
      <w:r>
        <w:rPr>
          <w:rFonts w:ascii="Calibri" w:eastAsia="Calibri"/>
          <w:spacing w:val="13"/>
          <w:sz w:val="24"/>
        </w:rPr>
        <w:t xml:space="preserve"> </w:t>
      </w:r>
      <w:r>
        <w:rPr>
          <w:rFonts w:hint="eastAsia" w:ascii="宋体" w:eastAsia="宋体"/>
          <w:sz w:val="24"/>
        </w:rPr>
        <w:t>日内，向主管税务机关报送《技术成果投资入</w:t>
      </w:r>
      <w:r>
        <w:rPr>
          <w:rFonts w:hint="eastAsia" w:ascii="宋体" w:eastAsia="宋体"/>
          <w:spacing w:val="-2"/>
          <w:sz w:val="24"/>
        </w:rPr>
        <w:t>股个人所得税递延纳税备案表》</w:t>
      </w:r>
      <w:r>
        <w:rPr>
          <w:rFonts w:hint="eastAsia" w:ascii="宋体" w:eastAsia="宋体"/>
          <w:sz w:val="24"/>
        </w:rPr>
        <w:t>（</w:t>
      </w:r>
      <w:r>
        <w:rPr>
          <w:rFonts w:hint="eastAsia" w:ascii="宋体" w:eastAsia="宋体"/>
          <w:spacing w:val="-19"/>
          <w:sz w:val="24"/>
        </w:rPr>
        <w:t xml:space="preserve">附件 </w:t>
      </w:r>
      <w:r>
        <w:rPr>
          <w:rFonts w:ascii="Calibri" w:eastAsia="Calibri"/>
          <w:spacing w:val="-4"/>
          <w:sz w:val="24"/>
        </w:rPr>
        <w:t>3</w:t>
      </w:r>
      <w:r>
        <w:rPr>
          <w:rFonts w:hint="eastAsia" w:ascii="宋体" w:eastAsia="宋体"/>
          <w:spacing w:val="-4"/>
          <w:sz w:val="24"/>
        </w:rPr>
        <w:t>）</w:t>
      </w:r>
      <w:r>
        <w:rPr>
          <w:rFonts w:hint="eastAsia" w:ascii="宋体" w:eastAsia="宋体"/>
          <w:spacing w:val="-5"/>
          <w:sz w:val="24"/>
        </w:rPr>
        <w:t>、技术成果相关证书或证明材料、技</w:t>
      </w:r>
      <w:r>
        <w:rPr>
          <w:rFonts w:hint="eastAsia" w:ascii="宋体" w:eastAsia="宋体"/>
          <w:sz w:val="24"/>
        </w:rPr>
        <w:t>术成果投资入股协议、技术成果评估报告等资料。</w:t>
      </w:r>
    </w:p>
    <w:p>
      <w:pPr>
        <w:pStyle w:val="3"/>
        <w:spacing w:before="3"/>
        <w:ind w:left="2287"/>
      </w:pPr>
      <w:r>
        <w:t>（六）个人因非上市公司实施股权激励或以技术成果投资入股取得的股票</w:t>
      </w:r>
    </w:p>
    <w:p>
      <w:pPr>
        <w:pStyle w:val="3"/>
        <w:spacing w:before="160" w:line="364" w:lineRule="auto"/>
        <w:ind w:right="1744"/>
      </w:pPr>
      <w:r>
        <w:t xml:space="preserve">（权），实行递延纳税期间，扣缴义务人应于每个纳税年度终了后 </w:t>
      </w:r>
      <w:r>
        <w:rPr>
          <w:rFonts w:ascii="Calibri" w:eastAsia="Calibri"/>
        </w:rPr>
        <w:t xml:space="preserve">30 </w:t>
      </w:r>
      <w:r>
        <w:t xml:space="preserve">日内，向主管税务机关报送《个人所得税递延纳税情况年度报告表》（附件 </w:t>
      </w:r>
      <w:r>
        <w:rPr>
          <w:rFonts w:ascii="Calibri" w:eastAsia="Calibri"/>
        </w:rPr>
        <w:t>4</w:t>
      </w:r>
      <w:r>
        <w:t>）。</w:t>
      </w:r>
    </w:p>
    <w:p>
      <w:pPr>
        <w:pStyle w:val="3"/>
        <w:spacing w:line="364" w:lineRule="auto"/>
        <w:ind w:right="1677" w:firstLine="468"/>
      </w:pPr>
      <w:r>
        <w:rPr>
          <w:spacing w:val="-3"/>
        </w:rPr>
        <w:t>（</w:t>
      </w:r>
      <w:r>
        <w:t>七</w:t>
      </w:r>
      <w:r>
        <w:rPr>
          <w:spacing w:val="-15"/>
        </w:rPr>
        <w:t>）</w:t>
      </w:r>
      <w:r>
        <w:rPr>
          <w:spacing w:val="-2"/>
        </w:rPr>
        <w:t>递延纳税股票</w:t>
      </w:r>
      <w:r>
        <w:t>（权</w:t>
      </w:r>
      <w:r>
        <w:rPr>
          <w:spacing w:val="-15"/>
        </w:rPr>
        <w:t>）</w:t>
      </w:r>
      <w:r>
        <w:rPr>
          <w:spacing w:val="-6"/>
        </w:rPr>
        <w:t>转让、办理纳税申报时，扣缴义务人、个人应向</w:t>
      </w:r>
      <w:r>
        <w:rPr>
          <w:spacing w:val="-9"/>
        </w:rPr>
        <w:t>主管税务机关一并报送能够证明股票</w:t>
      </w:r>
      <w:r>
        <w:rPr>
          <w:spacing w:val="-3"/>
        </w:rPr>
        <w:t>（</w:t>
      </w:r>
      <w:r>
        <w:t>权</w:t>
      </w:r>
      <w:r>
        <w:rPr>
          <w:spacing w:val="-44"/>
        </w:rPr>
        <w:t>）</w:t>
      </w:r>
      <w:r>
        <w:rPr>
          <w:spacing w:val="-11"/>
        </w:rPr>
        <w:t>转让价格、递延纳税股票</w:t>
      </w:r>
      <w:r>
        <w:rPr>
          <w:spacing w:val="-3"/>
        </w:rPr>
        <w:t>（</w:t>
      </w:r>
      <w:r>
        <w:t>权</w:t>
      </w:r>
      <w:r>
        <w:rPr>
          <w:spacing w:val="-44"/>
        </w:rPr>
        <w:t>）</w:t>
      </w:r>
      <w:r>
        <w:rPr>
          <w:spacing w:val="-5"/>
        </w:rPr>
        <w:t>原值、</w:t>
      </w:r>
      <w:r>
        <w:rPr>
          <w:spacing w:val="-7"/>
        </w:rPr>
        <w:t>合理税费的有关资料，具体包括转让协议、评估报告和相关票据等。资料不全或</w:t>
      </w:r>
      <w:r>
        <w:rPr>
          <w:spacing w:val="-13"/>
        </w:rPr>
        <w:t>无法充分证明有关情况，造成计税依据偏低，又无正当理由的，主管税务机关可依据税收征管法有关规定进行核定。</w:t>
      </w:r>
    </w:p>
    <w:p>
      <w:pPr>
        <w:spacing w:before="3"/>
        <w:ind w:left="2280" w:right="0" w:firstLine="0"/>
        <w:jc w:val="left"/>
        <w:rPr>
          <w:b/>
          <w:sz w:val="24"/>
        </w:rPr>
      </w:pPr>
      <w:r>
        <w:rPr>
          <w:b/>
          <w:sz w:val="24"/>
        </w:rPr>
        <w:t>二、关于企业所得税征管问题</w:t>
      </w:r>
    </w:p>
    <w:p>
      <w:pPr>
        <w:pStyle w:val="3"/>
        <w:spacing w:before="161" w:line="364" w:lineRule="auto"/>
        <w:ind w:right="1797" w:firstLine="460"/>
      </w:pPr>
      <w:r>
        <w:t>（一</w:t>
      </w:r>
      <w:r>
        <w:rPr>
          <w:spacing w:val="-17"/>
        </w:rPr>
        <w:t>）</w:t>
      </w:r>
      <w:r>
        <w:rPr>
          <w:spacing w:val="-8"/>
        </w:rPr>
        <w:t>选择适用《通知》中递延纳税政策的，应当为实行查账征收的居民企</w:t>
      </w:r>
      <w:r>
        <w:t>业以技术成果所有权投资。</w:t>
      </w:r>
    </w:p>
    <w:p>
      <w:pPr>
        <w:pStyle w:val="3"/>
        <w:spacing w:line="364" w:lineRule="auto"/>
        <w:ind w:right="1725" w:firstLine="456"/>
      </w:pPr>
      <w:r>
        <w:t xml:space="preserve">（二）企业适用递延纳税政策的，应在投资完成后首次预缴申报时，将相关内容填入《技术成果投资入股企业所得税递延纳税备案表》（附件 </w:t>
      </w:r>
      <w:r>
        <w:rPr>
          <w:rFonts w:ascii="Calibri" w:eastAsia="Calibri"/>
        </w:rPr>
        <w:t>5</w:t>
      </w:r>
      <w:r>
        <w:t>）。</w:t>
      </w:r>
    </w:p>
    <w:p>
      <w:pPr>
        <w:pStyle w:val="3"/>
        <w:spacing w:line="364" w:lineRule="auto"/>
        <w:ind w:right="1725" w:firstLine="456"/>
      </w:pPr>
      <w:r>
        <w:t>（三）企业接受技术成果投资入股，技术成果评估值明显不合理的，主管税务机关有权进行调整。</w:t>
      </w:r>
    </w:p>
    <w:p>
      <w:pPr>
        <w:spacing w:before="1"/>
        <w:ind w:left="2280" w:right="0" w:firstLine="0"/>
        <w:jc w:val="left"/>
        <w:rPr>
          <w:b/>
          <w:sz w:val="24"/>
        </w:rPr>
      </w:pPr>
      <w:r>
        <w:rPr>
          <w:b/>
          <w:sz w:val="24"/>
        </w:rPr>
        <w:t>三、实施时间</w:t>
      </w:r>
    </w:p>
    <w:p>
      <w:pPr>
        <w:spacing w:after="0"/>
        <w:jc w:val="left"/>
        <w:rPr>
          <w:sz w:val="24"/>
        </w:rPr>
        <w:sectPr>
          <w:pgSz w:w="11910" w:h="16840"/>
          <w:pgMar w:top="1540" w:right="0" w:bottom="1380" w:left="0" w:header="965" w:footer="1182" w:gutter="0"/>
          <w:cols w:space="720" w:num="1"/>
        </w:sectPr>
      </w:pPr>
    </w:p>
    <w:p>
      <w:pPr>
        <w:pStyle w:val="3"/>
        <w:spacing w:before="2"/>
        <w:ind w:left="0"/>
        <w:rPr>
          <w:b/>
          <w:sz w:val="12"/>
        </w:rPr>
      </w:pPr>
    </w:p>
    <w:p>
      <w:pPr>
        <w:pStyle w:val="3"/>
        <w:spacing w:before="67"/>
        <w:ind w:left="0" w:right="1791"/>
        <w:jc w:val="right"/>
        <w:rPr>
          <w:rFonts w:ascii="Calibri" w:eastAsia="Calibri"/>
        </w:rPr>
      </w:pPr>
      <w:r>
        <w:rPr>
          <w:spacing w:val="-9"/>
        </w:rPr>
        <w:t xml:space="preserve">本公告自 </w:t>
      </w:r>
      <w:r>
        <w:rPr>
          <w:rFonts w:ascii="Calibri" w:eastAsia="Calibri"/>
        </w:rPr>
        <w:t>2016</w:t>
      </w:r>
      <w:r>
        <w:rPr>
          <w:rFonts w:ascii="Calibri" w:eastAsia="Calibri"/>
          <w:spacing w:val="11"/>
        </w:rPr>
        <w:t xml:space="preserve"> </w:t>
      </w:r>
      <w:r>
        <w:rPr>
          <w:spacing w:val="-28"/>
        </w:rPr>
        <w:t xml:space="preserve">年 </w:t>
      </w:r>
      <w:r>
        <w:rPr>
          <w:rFonts w:ascii="Calibri" w:eastAsia="Calibri"/>
        </w:rPr>
        <w:t>9</w:t>
      </w:r>
      <w:r>
        <w:rPr>
          <w:rFonts w:ascii="Calibri" w:eastAsia="Calibri"/>
          <w:spacing w:val="11"/>
        </w:rPr>
        <w:t xml:space="preserve"> </w:t>
      </w:r>
      <w:r>
        <w:rPr>
          <w:spacing w:val="-27"/>
        </w:rPr>
        <w:t xml:space="preserve">月 </w:t>
      </w:r>
      <w:r>
        <w:rPr>
          <w:rFonts w:ascii="Calibri" w:eastAsia="Calibri"/>
        </w:rPr>
        <w:t>1</w:t>
      </w:r>
      <w:r>
        <w:rPr>
          <w:rFonts w:ascii="Calibri" w:eastAsia="Calibri"/>
          <w:spacing w:val="13"/>
        </w:rPr>
        <w:t xml:space="preserve"> </w:t>
      </w:r>
      <w:r>
        <w:rPr>
          <w:spacing w:val="-1"/>
        </w:rPr>
        <w:t xml:space="preserve">日起实施。中关村国家自主创新示范区 </w:t>
      </w:r>
      <w:r>
        <w:rPr>
          <w:rFonts w:ascii="Calibri" w:eastAsia="Calibri"/>
        </w:rPr>
        <w:t>2016</w:t>
      </w:r>
      <w:r>
        <w:rPr>
          <w:rFonts w:ascii="Calibri" w:eastAsia="Calibri"/>
          <w:spacing w:val="11"/>
        </w:rPr>
        <w:t xml:space="preserve"> </w:t>
      </w:r>
      <w:r>
        <w:rPr>
          <w:spacing w:val="-27"/>
        </w:rPr>
        <w:t xml:space="preserve">年 </w:t>
      </w:r>
      <w:r>
        <w:rPr>
          <w:rFonts w:ascii="Calibri" w:eastAsia="Calibri"/>
        </w:rPr>
        <w:t>1</w:t>
      </w:r>
    </w:p>
    <w:p>
      <w:pPr>
        <w:pStyle w:val="3"/>
        <w:spacing w:before="160"/>
        <w:ind w:left="0" w:right="1795"/>
        <w:jc w:val="right"/>
      </w:pPr>
      <w:r>
        <w:rPr>
          <w:spacing w:val="-29"/>
        </w:rPr>
        <w:t xml:space="preserve">月 </w:t>
      </w:r>
      <w:r>
        <w:rPr>
          <w:rFonts w:ascii="Calibri" w:eastAsia="Calibri"/>
        </w:rPr>
        <w:t>1</w:t>
      </w:r>
      <w:r>
        <w:rPr>
          <w:rFonts w:ascii="Calibri" w:eastAsia="Calibri"/>
          <w:spacing w:val="8"/>
        </w:rPr>
        <w:t xml:space="preserve"> </w:t>
      </w:r>
      <w:r>
        <w:rPr>
          <w:spacing w:val="-19"/>
        </w:rPr>
        <w:t xml:space="preserve">日至 </w:t>
      </w:r>
      <w:r>
        <w:rPr>
          <w:rFonts w:ascii="Calibri" w:eastAsia="Calibri"/>
        </w:rPr>
        <w:t>8</w:t>
      </w:r>
      <w:r>
        <w:rPr>
          <w:rFonts w:ascii="Calibri" w:eastAsia="Calibri"/>
          <w:spacing w:val="6"/>
        </w:rPr>
        <w:t xml:space="preserve"> </w:t>
      </w:r>
      <w:r>
        <w:rPr>
          <w:spacing w:val="-28"/>
        </w:rPr>
        <w:t xml:space="preserve">月 </w:t>
      </w:r>
      <w:r>
        <w:rPr>
          <w:rFonts w:ascii="Calibri" w:eastAsia="Calibri"/>
        </w:rPr>
        <w:t>31</w:t>
      </w:r>
      <w:r>
        <w:rPr>
          <w:rFonts w:ascii="Calibri" w:eastAsia="Calibri"/>
          <w:spacing w:val="9"/>
        </w:rPr>
        <w:t xml:space="preserve"> </w:t>
      </w:r>
      <w:r>
        <w:t>日之间发生的尚未纳税的股权奖励事项，按《通知》有关政策</w:t>
      </w:r>
    </w:p>
    <w:p>
      <w:pPr>
        <w:pStyle w:val="3"/>
        <w:spacing w:before="161"/>
      </w:pPr>
      <w:r>
        <w:rPr>
          <w:spacing w:val="-11"/>
        </w:rPr>
        <w:t xml:space="preserve">执行的，可按本公告有关规定办理相关税收事宜。《国家税务总局关于 </w:t>
      </w:r>
      <w:r>
        <w:rPr>
          <w:rFonts w:ascii="Calibri" w:eastAsia="Calibri"/>
        </w:rPr>
        <w:t>3</w:t>
      </w:r>
      <w:r>
        <w:rPr>
          <w:rFonts w:ascii="Calibri" w:eastAsia="Calibri"/>
          <w:spacing w:val="6"/>
        </w:rPr>
        <w:t xml:space="preserve"> </w:t>
      </w:r>
      <w:r>
        <w:t>项个人</w:t>
      </w:r>
    </w:p>
    <w:p>
      <w:pPr>
        <w:pStyle w:val="3"/>
        <w:spacing w:before="160" w:line="364" w:lineRule="auto"/>
        <w:ind w:right="1675"/>
      </w:pPr>
      <w:r>
        <w:rPr>
          <w:spacing w:val="-6"/>
        </w:rPr>
        <w:t>所得税事项取消审批实施后续管理的公告》</w:t>
      </w:r>
      <w:r>
        <w:t>（</w:t>
      </w:r>
      <w:r>
        <w:rPr>
          <w:spacing w:val="-7"/>
        </w:rPr>
        <w:t xml:space="preserve">国家税务总局公告 </w:t>
      </w:r>
      <w:r>
        <w:rPr>
          <w:rFonts w:ascii="Calibri" w:eastAsia="Calibri"/>
        </w:rPr>
        <w:t xml:space="preserve">2016 </w:t>
      </w:r>
      <w:r>
        <w:rPr>
          <w:spacing w:val="-20"/>
        </w:rPr>
        <w:t xml:space="preserve">年第 </w:t>
      </w:r>
      <w:r>
        <w:rPr>
          <w:rFonts w:ascii="Calibri" w:eastAsia="Calibri"/>
        </w:rPr>
        <w:t xml:space="preserve">5 </w:t>
      </w:r>
      <w:r>
        <w:t>号</w:t>
      </w:r>
      <w:r>
        <w:rPr>
          <w:spacing w:val="-14"/>
        </w:rPr>
        <w:t xml:space="preserve">） </w:t>
      </w:r>
      <w:r>
        <w:t>第二条第（一）项同时废止。</w:t>
      </w:r>
    </w:p>
    <w:p>
      <w:pPr>
        <w:pStyle w:val="3"/>
        <w:spacing w:before="2"/>
        <w:ind w:left="2280"/>
      </w:pPr>
      <w:r>
        <w:t>特此公告。</w:t>
      </w:r>
    </w:p>
    <w:p>
      <w:pPr>
        <w:spacing w:before="170"/>
        <w:ind w:left="2280" w:right="0" w:firstLine="0"/>
        <w:jc w:val="left"/>
        <w:outlineLvl w:val="1"/>
        <w:rPr>
          <w:rFonts w:hint="eastAsia" w:ascii="微软雅黑" w:eastAsia="微软雅黑"/>
          <w:b/>
          <w:sz w:val="24"/>
        </w:rPr>
      </w:pPr>
      <w:r>
        <w:rPr>
          <w:rFonts w:hint="eastAsia" w:ascii="微软雅黑" w:eastAsia="微软雅黑"/>
          <w:b/>
          <w:color w:val="333333"/>
          <w:sz w:val="24"/>
        </w:rPr>
        <w:t>【政策依据】全民所有制企业公司制改制</w:t>
      </w:r>
    </w:p>
    <w:p>
      <w:pPr>
        <w:pStyle w:val="3"/>
        <w:spacing w:before="181" w:line="338" w:lineRule="auto"/>
        <w:ind w:right="1797" w:firstLine="480"/>
        <w:rPr>
          <w:rFonts w:hint="eastAsia" w:ascii="微软雅黑" w:eastAsia="微软雅黑"/>
        </w:rPr>
      </w:pPr>
      <w:bookmarkStart w:id="47" w:name="_bookmark27"/>
      <w:bookmarkEnd w:id="47"/>
      <w:r>
        <w:rPr>
          <w:rFonts w:hint="eastAsia" w:ascii="微软雅黑" w:eastAsia="微软雅黑"/>
          <w:color w:val="333333"/>
        </w:rPr>
        <w:t>《国家税务总局关于全民所有制企业公司制改制企业所得税处理问题的公告》（国家税务总局公告 2017 年第 34 号）</w:t>
      </w:r>
    </w:p>
    <w:p>
      <w:pPr>
        <w:pStyle w:val="3"/>
        <w:spacing w:before="0" w:line="364" w:lineRule="auto"/>
        <w:ind w:right="1675" w:firstLine="480"/>
      </w:pPr>
      <w:r>
        <w:pict>
          <v:shape id="_x0000_s1123" o:spid="_x0000_s1123" o:spt="136" type="#_x0000_t136" style="position:absolute;left:0pt;margin-left:41.25pt;margin-top:39.6pt;height:132pt;width:528.05pt;mso-position-horizontal-relative:page;rotation:20643840f;z-index:-251556864;mso-width-relative:page;mso-height-relative:page;" fillcolor="#000000" filled="t" stroked="f" coordsize="21600,21600">
            <v:path/>
            <v:fill on="t" opacity="3855f" focussize="0,0"/>
            <v:stroke on="f"/>
            <v:imagedata o:title=""/>
            <o:lock v:ext="edit"/>
            <v:textpath on="t" fitshape="t" fitpath="t" trim="t" xscale="f" string="华税学院" style="font-family:&amp;quot;font-size:132pt;v-text-align:center;"/>
          </v:shape>
        </w:pict>
      </w:r>
      <w:r>
        <w:t>为贯彻落实《中共中央 国务院关于深化国有企业改革的指导意见》和《国务院办公厅关于印发中央企业公司制改制工作实施方案的通知</w:t>
      </w:r>
      <w:r>
        <w:rPr>
          <w:spacing w:val="-147"/>
        </w:rPr>
        <w:t>》</w:t>
      </w:r>
      <w:r>
        <w:t>（</w:t>
      </w:r>
      <w:r>
        <w:rPr>
          <w:spacing w:val="-19"/>
        </w:rPr>
        <w:t>国办发〔</w:t>
      </w:r>
      <w:r>
        <w:rPr>
          <w:rFonts w:ascii="Calibri" w:eastAsia="Calibri"/>
        </w:rPr>
        <w:t>2017</w:t>
      </w:r>
      <w:r>
        <w:rPr>
          <w:spacing w:val="-15"/>
        </w:rPr>
        <w:t>〕</w:t>
      </w:r>
      <w:r>
        <w:rPr>
          <w:rFonts w:ascii="Calibri" w:eastAsia="Calibri"/>
        </w:rPr>
        <w:t xml:space="preserve">69 </w:t>
      </w:r>
      <w:r>
        <w:t>号</w:t>
      </w:r>
      <w:r>
        <w:rPr>
          <w:spacing w:val="-12"/>
        </w:rPr>
        <w:t>），</w:t>
      </w:r>
      <w:r>
        <w:rPr>
          <w:spacing w:val="-3"/>
        </w:rPr>
        <w:t>根据《财政部 国家税务总局关于企业重组业务企业所得税处理若干问题的通知》（财税〔</w:t>
      </w:r>
      <w:r>
        <w:rPr>
          <w:rFonts w:ascii="Calibri" w:eastAsia="Calibri"/>
          <w:spacing w:val="-3"/>
        </w:rPr>
        <w:t>2009</w:t>
      </w:r>
      <w:r>
        <w:rPr>
          <w:spacing w:val="-3"/>
        </w:rPr>
        <w:t>〕</w:t>
      </w:r>
      <w:r>
        <w:rPr>
          <w:rFonts w:ascii="Calibri" w:eastAsia="Calibri"/>
          <w:spacing w:val="-3"/>
        </w:rPr>
        <w:t xml:space="preserve">59 </w:t>
      </w:r>
      <w:r>
        <w:t>号）有关规定，现就全民所有制企业公司制改制企业所得税处理问题公告如下：</w:t>
      </w:r>
    </w:p>
    <w:p>
      <w:pPr>
        <w:pStyle w:val="3"/>
        <w:spacing w:before="0"/>
        <w:ind w:left="2287"/>
      </w:pPr>
      <w:r>
        <w:t>一、全民所有制企业改制为国有独资公司或者国有全资子公司，属于财税</w:t>
      </w:r>
    </w:p>
    <w:p>
      <w:pPr>
        <w:pStyle w:val="3"/>
        <w:spacing w:before="155" w:line="364" w:lineRule="auto"/>
        <w:ind w:right="1792"/>
      </w:pPr>
      <w:r>
        <w:t>〔</w:t>
      </w:r>
      <w:r>
        <w:rPr>
          <w:rFonts w:ascii="Calibri" w:hAnsi="Calibri" w:eastAsia="Calibri"/>
        </w:rPr>
        <w:t>2009</w:t>
      </w:r>
      <w:r>
        <w:t>〕</w:t>
      </w:r>
      <w:r>
        <w:rPr>
          <w:rFonts w:ascii="Calibri" w:hAnsi="Calibri" w:eastAsia="Calibri"/>
        </w:rPr>
        <w:t xml:space="preserve">59 </w:t>
      </w:r>
      <w:r>
        <w:t>号文件第四条规定的</w:t>
      </w:r>
      <w:r>
        <w:rPr>
          <w:rFonts w:ascii="Calibri" w:hAnsi="Calibri" w:eastAsia="Calibri"/>
        </w:rPr>
        <w:t>“</w:t>
      </w:r>
      <w:r>
        <w:t>企业发生其他法律形式简单改变</w:t>
      </w:r>
      <w:r>
        <w:rPr>
          <w:rFonts w:ascii="Calibri" w:hAnsi="Calibri" w:eastAsia="Calibri"/>
        </w:rPr>
        <w:t>”</w:t>
      </w:r>
      <w:r>
        <w:t>的，可依照以下规定进行企业所得税处理：</w:t>
      </w:r>
    </w:p>
    <w:p>
      <w:pPr>
        <w:pStyle w:val="3"/>
        <w:spacing w:line="364" w:lineRule="auto"/>
        <w:ind w:right="1797" w:firstLine="480"/>
      </w:pPr>
      <w:r>
        <w:rPr>
          <w:spacing w:val="-6"/>
        </w:rPr>
        <w:t>改制中资产评估增值不计入应纳税所得额；资产的计税基础按其原有计税基</w:t>
      </w:r>
      <w:r>
        <w:t>础确定；资产增值部分的折旧或者摊销不得在税前扣除。</w:t>
      </w:r>
    </w:p>
    <w:p>
      <w:pPr>
        <w:pStyle w:val="3"/>
        <w:spacing w:line="364" w:lineRule="auto"/>
        <w:ind w:left="2280" w:right="1743"/>
      </w:pPr>
      <w:r>
        <w:t xml:space="preserve">二、全民所有制企业资产评估增值相关材料应由改制后的企业留存备查。三、本公告适用于 </w:t>
      </w:r>
      <w:r>
        <w:rPr>
          <w:rFonts w:ascii="Calibri" w:eastAsia="Calibri"/>
        </w:rPr>
        <w:t xml:space="preserve">2017 </w:t>
      </w:r>
      <w:r>
        <w:t>年度及以后年度企业所得税汇算清缴。此前发生的</w:t>
      </w:r>
    </w:p>
    <w:p>
      <w:pPr>
        <w:pStyle w:val="3"/>
        <w:spacing w:line="364" w:lineRule="auto"/>
        <w:ind w:left="2280" w:right="1705" w:hanging="480"/>
      </w:pPr>
      <w:r>
        <w:t>全民所有制企业公司制改制，尚未进行企业所得税处理的，可依照本公告执行。特此公告。</w:t>
      </w:r>
    </w:p>
    <w:sectPr>
      <w:pgSz w:w="11910" w:h="16840"/>
      <w:pgMar w:top="1540" w:right="0" w:bottom="1380" w:left="0" w:header="965" w:footer="118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drawing>
        <wp:anchor distT="0" distB="0" distL="0" distR="0" simplePos="0" relativeHeight="251663360" behindDoc="1" locked="0" layoutInCell="1" allowOverlap="1">
          <wp:simplePos x="0" y="0"/>
          <wp:positionH relativeFrom="page">
            <wp:posOffset>1155065</wp:posOffset>
          </wp:positionH>
          <wp:positionV relativeFrom="page">
            <wp:posOffset>9814560</wp:posOffset>
          </wp:positionV>
          <wp:extent cx="5230495" cy="147955"/>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a:picLocks noChangeAspect="1"/>
                  </pic:cNvPicPr>
                </pic:nvPicPr>
                <pic:blipFill>
                  <a:blip r:embed="rId1" cstate="print"/>
                  <a:stretch>
                    <a:fillRect/>
                  </a:stretch>
                </pic:blipFill>
                <pic:spPr>
                  <a:xfrm>
                    <a:off x="0" y="0"/>
                    <a:ext cx="5230368" cy="147827"/>
                  </a:xfrm>
                  <a:prstGeom prst="rect">
                    <a:avLst/>
                  </a:prstGeom>
                </pic:spPr>
              </pic:pic>
            </a:graphicData>
          </a:graphic>
        </wp:anchor>
      </w:drawing>
    </w:r>
    <w:r>
      <w:pict>
        <v:shape id="_x0000_s2050" o:spid="_x0000_s2050" o:spt="202" type="#_x0000_t202" style="position:absolute;left:0pt;margin-left:498.75pt;margin-top:772.3pt;height:11pt;width:8.6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drawing>
        <wp:anchor distT="0" distB="0" distL="0" distR="0" simplePos="0" relativeHeight="251681792" behindDoc="1" locked="0" layoutInCell="1" allowOverlap="1">
          <wp:simplePos x="0" y="0"/>
          <wp:positionH relativeFrom="page">
            <wp:posOffset>1155065</wp:posOffset>
          </wp:positionH>
          <wp:positionV relativeFrom="page">
            <wp:posOffset>9814560</wp:posOffset>
          </wp:positionV>
          <wp:extent cx="5230495" cy="147955"/>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3.png"/>
                  <pic:cNvPicPr>
                    <a:picLocks noChangeAspect="1"/>
                  </pic:cNvPicPr>
                </pic:nvPicPr>
                <pic:blipFill>
                  <a:blip r:embed="rId1" cstate="print"/>
                  <a:stretch>
                    <a:fillRect/>
                  </a:stretch>
                </pic:blipFill>
                <pic:spPr>
                  <a:xfrm>
                    <a:off x="0" y="0"/>
                    <a:ext cx="5230368" cy="147827"/>
                  </a:xfrm>
                  <a:prstGeom prst="rect">
                    <a:avLst/>
                  </a:prstGeom>
                </pic:spPr>
              </pic:pic>
            </a:graphicData>
          </a:graphic>
        </wp:anchor>
      </w:drawing>
    </w:r>
    <w:r>
      <w:pict>
        <v:shape id="_x0000_s2059" o:spid="_x0000_s2059" o:spt="202" type="#_x0000_t202" style="position:absolute;left:0pt;margin-left:494.2pt;margin-top:772.3pt;height:11pt;width:13.15pt;mso-position-horizontal-relative:page;mso-position-vertical-relative:page;z-index:-251633664;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90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drawing>
        <wp:anchor distT="0" distB="0" distL="0" distR="0" simplePos="0" relativeHeight="251665408" behindDoc="1" locked="0" layoutInCell="1" allowOverlap="1">
          <wp:simplePos x="0" y="0"/>
          <wp:positionH relativeFrom="page">
            <wp:posOffset>1155065</wp:posOffset>
          </wp:positionH>
          <wp:positionV relativeFrom="page">
            <wp:posOffset>9814560</wp:posOffset>
          </wp:positionV>
          <wp:extent cx="5230495" cy="147955"/>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a:picLocks noChangeAspect="1"/>
                  </pic:cNvPicPr>
                </pic:nvPicPr>
                <pic:blipFill>
                  <a:blip r:embed="rId1" cstate="print"/>
                  <a:stretch>
                    <a:fillRect/>
                  </a:stretch>
                </pic:blipFill>
                <pic:spPr>
                  <a:xfrm>
                    <a:off x="0" y="0"/>
                    <a:ext cx="5230368" cy="147827"/>
                  </a:xfrm>
                  <a:prstGeom prst="rect">
                    <a:avLst/>
                  </a:prstGeom>
                </pic:spPr>
              </pic:pic>
            </a:graphicData>
          </a:graphic>
        </wp:anchor>
      </w:drawing>
    </w:r>
    <w:r>
      <w:pict>
        <v:shape id="_x0000_s2051" o:spid="_x0000_s2051" o:spt="202" type="#_x0000_t202" style="position:absolute;left:0pt;margin-left:494.2pt;margin-top:772.3pt;height:11pt;width:13.1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drawing>
        <wp:anchor distT="0" distB="0" distL="0" distR="0" simplePos="0" relativeHeight="251667456" behindDoc="1" locked="0" layoutInCell="1" allowOverlap="1">
          <wp:simplePos x="0" y="0"/>
          <wp:positionH relativeFrom="page">
            <wp:posOffset>1155065</wp:posOffset>
          </wp:positionH>
          <wp:positionV relativeFrom="page">
            <wp:posOffset>9814560</wp:posOffset>
          </wp:positionV>
          <wp:extent cx="5230495" cy="147955"/>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pic:cNvPicPr>
                    <a:picLocks noChangeAspect="1"/>
                  </pic:cNvPicPr>
                </pic:nvPicPr>
                <pic:blipFill>
                  <a:blip r:embed="rId1" cstate="print"/>
                  <a:stretch>
                    <a:fillRect/>
                  </a:stretch>
                </pic:blipFill>
                <pic:spPr>
                  <a:xfrm>
                    <a:off x="0" y="0"/>
                    <a:ext cx="5230368" cy="147827"/>
                  </a:xfrm>
                  <a:prstGeom prst="rect">
                    <a:avLst/>
                  </a:prstGeom>
                </pic:spPr>
              </pic:pic>
            </a:graphicData>
          </a:graphic>
        </wp:anchor>
      </w:drawing>
    </w:r>
    <w:r>
      <w:pict>
        <v:shape id="_x0000_s2052" o:spid="_x0000_s2052" o:spt="202" type="#_x0000_t202" style="position:absolute;left:0pt;margin-left:494.2pt;margin-top:772.3pt;height:11pt;width:13.15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20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drawing>
        <wp:anchor distT="0" distB="0" distL="0" distR="0" simplePos="0" relativeHeight="251669504" behindDoc="1" locked="0" layoutInCell="1" allowOverlap="1">
          <wp:simplePos x="0" y="0"/>
          <wp:positionH relativeFrom="page">
            <wp:posOffset>1155065</wp:posOffset>
          </wp:positionH>
          <wp:positionV relativeFrom="page">
            <wp:posOffset>9814560</wp:posOffset>
          </wp:positionV>
          <wp:extent cx="5230495" cy="147955"/>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png"/>
                  <pic:cNvPicPr>
                    <a:picLocks noChangeAspect="1"/>
                  </pic:cNvPicPr>
                </pic:nvPicPr>
                <pic:blipFill>
                  <a:blip r:embed="rId1" cstate="print"/>
                  <a:stretch>
                    <a:fillRect/>
                  </a:stretch>
                </pic:blipFill>
                <pic:spPr>
                  <a:xfrm>
                    <a:off x="0" y="0"/>
                    <a:ext cx="5230368" cy="147827"/>
                  </a:xfrm>
                  <a:prstGeom prst="rect">
                    <a:avLst/>
                  </a:prstGeom>
                </pic:spPr>
              </pic:pic>
            </a:graphicData>
          </a:graphic>
        </wp:anchor>
      </w:drawing>
    </w:r>
    <w:r>
      <w:pict>
        <v:shape id="_x0000_s2053" o:spid="_x0000_s2053" o:spt="202" type="#_x0000_t202" style="position:absolute;left:0pt;margin-left:494.2pt;margin-top:772.3pt;height:11pt;width:13.15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drawing>
        <wp:anchor distT="0" distB="0" distL="0" distR="0" simplePos="0" relativeHeight="251671552" behindDoc="1" locked="0" layoutInCell="1" allowOverlap="1">
          <wp:simplePos x="0" y="0"/>
          <wp:positionH relativeFrom="page">
            <wp:posOffset>1155065</wp:posOffset>
          </wp:positionH>
          <wp:positionV relativeFrom="page">
            <wp:posOffset>9814560</wp:posOffset>
          </wp:positionV>
          <wp:extent cx="5230495" cy="147955"/>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png"/>
                  <pic:cNvPicPr>
                    <a:picLocks noChangeAspect="1"/>
                  </pic:cNvPicPr>
                </pic:nvPicPr>
                <pic:blipFill>
                  <a:blip r:embed="rId1" cstate="print"/>
                  <a:stretch>
                    <a:fillRect/>
                  </a:stretch>
                </pic:blipFill>
                <pic:spPr>
                  <a:xfrm>
                    <a:off x="0" y="0"/>
                    <a:ext cx="5230368" cy="147827"/>
                  </a:xfrm>
                  <a:prstGeom prst="rect">
                    <a:avLst/>
                  </a:prstGeom>
                </pic:spPr>
              </pic:pic>
            </a:graphicData>
          </a:graphic>
        </wp:anchor>
      </w:drawing>
    </w:r>
    <w:r>
      <w:pict>
        <v:shape id="_x0000_s2054" o:spid="_x0000_s2054" o:spt="202" type="#_x0000_t202" style="position:absolute;left:0pt;margin-left:494.2pt;margin-top:772.3pt;height:11pt;width:13.1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40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drawing>
        <wp:anchor distT="0" distB="0" distL="0" distR="0" simplePos="0" relativeHeight="251673600" behindDoc="1" locked="0" layoutInCell="1" allowOverlap="1">
          <wp:simplePos x="0" y="0"/>
          <wp:positionH relativeFrom="page">
            <wp:posOffset>1155065</wp:posOffset>
          </wp:positionH>
          <wp:positionV relativeFrom="page">
            <wp:posOffset>9814560</wp:posOffset>
          </wp:positionV>
          <wp:extent cx="5230495" cy="147955"/>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png"/>
                  <pic:cNvPicPr>
                    <a:picLocks noChangeAspect="1"/>
                  </pic:cNvPicPr>
                </pic:nvPicPr>
                <pic:blipFill>
                  <a:blip r:embed="rId1" cstate="print"/>
                  <a:stretch>
                    <a:fillRect/>
                  </a:stretch>
                </pic:blipFill>
                <pic:spPr>
                  <a:xfrm>
                    <a:off x="0" y="0"/>
                    <a:ext cx="5230368" cy="147827"/>
                  </a:xfrm>
                  <a:prstGeom prst="rect">
                    <a:avLst/>
                  </a:prstGeom>
                </pic:spPr>
              </pic:pic>
            </a:graphicData>
          </a:graphic>
        </wp:anchor>
      </w:drawing>
    </w:r>
    <w:r>
      <w:pict>
        <v:shape id="_x0000_s2055" o:spid="_x0000_s2055" o:spt="202" type="#_x0000_t202" style="position:absolute;left:0pt;margin-left:494.2pt;margin-top:772.3pt;height:11pt;width:13.15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50</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drawing>
        <wp:anchor distT="0" distB="0" distL="0" distR="0" simplePos="0" relativeHeight="251675648" behindDoc="1" locked="0" layoutInCell="1" allowOverlap="1">
          <wp:simplePos x="0" y="0"/>
          <wp:positionH relativeFrom="page">
            <wp:posOffset>1155065</wp:posOffset>
          </wp:positionH>
          <wp:positionV relativeFrom="page">
            <wp:posOffset>9814560</wp:posOffset>
          </wp:positionV>
          <wp:extent cx="5230495" cy="147955"/>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png"/>
                  <pic:cNvPicPr>
                    <a:picLocks noChangeAspect="1"/>
                  </pic:cNvPicPr>
                </pic:nvPicPr>
                <pic:blipFill>
                  <a:blip r:embed="rId1" cstate="print"/>
                  <a:stretch>
                    <a:fillRect/>
                  </a:stretch>
                </pic:blipFill>
                <pic:spPr>
                  <a:xfrm>
                    <a:off x="0" y="0"/>
                    <a:ext cx="5230368" cy="147827"/>
                  </a:xfrm>
                  <a:prstGeom prst="rect">
                    <a:avLst/>
                  </a:prstGeom>
                </pic:spPr>
              </pic:pic>
            </a:graphicData>
          </a:graphic>
        </wp:anchor>
      </w:drawing>
    </w:r>
    <w:r>
      <w:pict>
        <v:shape id="_x0000_s2056" o:spid="_x0000_s2056" o:spt="202" type="#_x0000_t202" style="position:absolute;left:0pt;margin-left:494.2pt;margin-top:772.3pt;height:11pt;width:13.15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60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drawing>
        <wp:anchor distT="0" distB="0" distL="0" distR="0" simplePos="0" relativeHeight="251677696" behindDoc="1" locked="0" layoutInCell="1" allowOverlap="1">
          <wp:simplePos x="0" y="0"/>
          <wp:positionH relativeFrom="page">
            <wp:posOffset>1155065</wp:posOffset>
          </wp:positionH>
          <wp:positionV relativeFrom="page">
            <wp:posOffset>9814560</wp:posOffset>
          </wp:positionV>
          <wp:extent cx="5230495" cy="147955"/>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png"/>
                  <pic:cNvPicPr>
                    <a:picLocks noChangeAspect="1"/>
                  </pic:cNvPicPr>
                </pic:nvPicPr>
                <pic:blipFill>
                  <a:blip r:embed="rId1" cstate="print"/>
                  <a:stretch>
                    <a:fillRect/>
                  </a:stretch>
                </pic:blipFill>
                <pic:spPr>
                  <a:xfrm>
                    <a:off x="0" y="0"/>
                    <a:ext cx="5230368" cy="147827"/>
                  </a:xfrm>
                  <a:prstGeom prst="rect">
                    <a:avLst/>
                  </a:prstGeom>
                </pic:spPr>
              </pic:pic>
            </a:graphicData>
          </a:graphic>
        </wp:anchor>
      </w:drawing>
    </w:r>
    <w:r>
      <w:pict>
        <v:shape id="_x0000_s2057" o:spid="_x0000_s2057" o:spt="202" type="#_x0000_t202" style="position:absolute;left:0pt;margin-left:494.2pt;margin-top:772.3pt;height:11pt;width:13.15pt;mso-position-horizontal-relative:page;mso-position-vertical-relative:page;z-index:-251637760;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70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drawing>
        <wp:anchor distT="0" distB="0" distL="0" distR="0" simplePos="0" relativeHeight="251679744" behindDoc="1" locked="0" layoutInCell="1" allowOverlap="1">
          <wp:simplePos x="0" y="0"/>
          <wp:positionH relativeFrom="page">
            <wp:posOffset>1155065</wp:posOffset>
          </wp:positionH>
          <wp:positionV relativeFrom="page">
            <wp:posOffset>9814560</wp:posOffset>
          </wp:positionV>
          <wp:extent cx="5230495" cy="147955"/>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3.png"/>
                  <pic:cNvPicPr>
                    <a:picLocks noChangeAspect="1"/>
                  </pic:cNvPicPr>
                </pic:nvPicPr>
                <pic:blipFill>
                  <a:blip r:embed="rId1" cstate="print"/>
                  <a:stretch>
                    <a:fillRect/>
                  </a:stretch>
                </pic:blipFill>
                <pic:spPr>
                  <a:xfrm>
                    <a:off x="0" y="0"/>
                    <a:ext cx="5230368" cy="147827"/>
                  </a:xfrm>
                  <a:prstGeom prst="rect">
                    <a:avLst/>
                  </a:prstGeom>
                </pic:spPr>
              </pic:pic>
            </a:graphicData>
          </a:graphic>
        </wp:anchor>
      </w:drawing>
    </w:r>
    <w:r>
      <w:pict>
        <v:shape id="_x0000_s2058" o:spid="_x0000_s2058" o:spt="202" type="#_x0000_t202" style="position:absolute;left:0pt;margin-left:494.2pt;margin-top:772.3pt;height:11pt;width:13.15pt;mso-position-horizontal-relative:page;mso-position-vertical-relative:page;z-index:-251635712;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80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drawing>
        <wp:anchor distT="0" distB="0" distL="0" distR="0" simplePos="0" relativeHeight="251661312" behindDoc="1" locked="0" layoutInCell="1" allowOverlap="1">
          <wp:simplePos x="0" y="0"/>
          <wp:positionH relativeFrom="page">
            <wp:posOffset>1390650</wp:posOffset>
          </wp:positionH>
          <wp:positionV relativeFrom="page">
            <wp:posOffset>612140</wp:posOffset>
          </wp:positionV>
          <wp:extent cx="714375" cy="31115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1" cstate="print"/>
                  <a:stretch>
                    <a:fillRect/>
                  </a:stretch>
                </pic:blipFill>
                <pic:spPr>
                  <a:xfrm>
                    <a:off x="0" y="0"/>
                    <a:ext cx="714580" cy="311276"/>
                  </a:xfrm>
                  <a:prstGeom prst="rect">
                    <a:avLst/>
                  </a:prstGeom>
                </pic:spPr>
              </pic:pic>
            </a:graphicData>
          </a:graphic>
        </wp:anchor>
      </w:drawing>
    </w:r>
    <w:r>
      <w:pict>
        <v:line id="_x0000_s2049" o:spid="_x0000_s2049" o:spt="20" style="position:absolute;left:0pt;margin-left:91.15pt;margin-top:77.4pt;height:0pt;width:414pt;mso-position-horizontal-relative:page;mso-position-vertical-relative:page;z-index:-251654144;mso-width-relative:page;mso-height-relative:page;" stroked="t" coordsize="21600,21600">
          <v:path arrowok="t"/>
          <v:fill focussize="0,0"/>
          <v:stroke weight="0.8pt" color="#000000"/>
          <v:imagedata o:title=""/>
          <o:lock v:ext="edi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2480" w:hanging="201"/>
        <w:jc w:val="left"/>
      </w:pPr>
      <w:rPr>
        <w:rFonts w:hint="default" w:ascii="微软雅黑" w:hAnsi="微软雅黑" w:eastAsia="微软雅黑" w:cs="微软雅黑"/>
        <w:color w:val="333333"/>
        <w:spacing w:val="-3"/>
        <w:w w:val="100"/>
        <w:sz w:val="22"/>
        <w:szCs w:val="22"/>
        <w:lang w:val="zh-CN" w:eastAsia="zh-CN" w:bidi="zh-CN"/>
      </w:rPr>
    </w:lvl>
    <w:lvl w:ilvl="1" w:tentative="0">
      <w:start w:val="0"/>
      <w:numFmt w:val="bullet"/>
      <w:lvlText w:val="•"/>
      <w:lvlJc w:val="left"/>
      <w:pPr>
        <w:ind w:left="3422" w:hanging="201"/>
      </w:pPr>
      <w:rPr>
        <w:rFonts w:hint="default"/>
        <w:lang w:val="zh-CN" w:eastAsia="zh-CN" w:bidi="zh-CN"/>
      </w:rPr>
    </w:lvl>
    <w:lvl w:ilvl="2" w:tentative="0">
      <w:start w:val="0"/>
      <w:numFmt w:val="bullet"/>
      <w:lvlText w:val="•"/>
      <w:lvlJc w:val="left"/>
      <w:pPr>
        <w:ind w:left="4365" w:hanging="201"/>
      </w:pPr>
      <w:rPr>
        <w:rFonts w:hint="default"/>
        <w:lang w:val="zh-CN" w:eastAsia="zh-CN" w:bidi="zh-CN"/>
      </w:rPr>
    </w:lvl>
    <w:lvl w:ilvl="3" w:tentative="0">
      <w:start w:val="0"/>
      <w:numFmt w:val="bullet"/>
      <w:lvlText w:val="•"/>
      <w:lvlJc w:val="left"/>
      <w:pPr>
        <w:ind w:left="5307" w:hanging="201"/>
      </w:pPr>
      <w:rPr>
        <w:rFonts w:hint="default"/>
        <w:lang w:val="zh-CN" w:eastAsia="zh-CN" w:bidi="zh-CN"/>
      </w:rPr>
    </w:lvl>
    <w:lvl w:ilvl="4" w:tentative="0">
      <w:start w:val="0"/>
      <w:numFmt w:val="bullet"/>
      <w:lvlText w:val="•"/>
      <w:lvlJc w:val="left"/>
      <w:pPr>
        <w:ind w:left="6250" w:hanging="201"/>
      </w:pPr>
      <w:rPr>
        <w:rFonts w:hint="default"/>
        <w:lang w:val="zh-CN" w:eastAsia="zh-CN" w:bidi="zh-CN"/>
      </w:rPr>
    </w:lvl>
    <w:lvl w:ilvl="5" w:tentative="0">
      <w:start w:val="0"/>
      <w:numFmt w:val="bullet"/>
      <w:lvlText w:val="•"/>
      <w:lvlJc w:val="left"/>
      <w:pPr>
        <w:ind w:left="7193" w:hanging="201"/>
      </w:pPr>
      <w:rPr>
        <w:rFonts w:hint="default"/>
        <w:lang w:val="zh-CN" w:eastAsia="zh-CN" w:bidi="zh-CN"/>
      </w:rPr>
    </w:lvl>
    <w:lvl w:ilvl="6" w:tentative="0">
      <w:start w:val="0"/>
      <w:numFmt w:val="bullet"/>
      <w:lvlText w:val="•"/>
      <w:lvlJc w:val="left"/>
      <w:pPr>
        <w:ind w:left="8135" w:hanging="201"/>
      </w:pPr>
      <w:rPr>
        <w:rFonts w:hint="default"/>
        <w:lang w:val="zh-CN" w:eastAsia="zh-CN" w:bidi="zh-CN"/>
      </w:rPr>
    </w:lvl>
    <w:lvl w:ilvl="7" w:tentative="0">
      <w:start w:val="0"/>
      <w:numFmt w:val="bullet"/>
      <w:lvlText w:val="•"/>
      <w:lvlJc w:val="left"/>
      <w:pPr>
        <w:ind w:left="9078" w:hanging="201"/>
      </w:pPr>
      <w:rPr>
        <w:rFonts w:hint="default"/>
        <w:lang w:val="zh-CN" w:eastAsia="zh-CN" w:bidi="zh-CN"/>
      </w:rPr>
    </w:lvl>
    <w:lvl w:ilvl="8" w:tentative="0">
      <w:start w:val="0"/>
      <w:numFmt w:val="bullet"/>
      <w:lvlText w:val="•"/>
      <w:lvlJc w:val="left"/>
      <w:pPr>
        <w:ind w:left="10020" w:hanging="201"/>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2480" w:hanging="201"/>
        <w:jc w:val="left"/>
      </w:pPr>
      <w:rPr>
        <w:rFonts w:hint="default" w:ascii="微软雅黑" w:hAnsi="微软雅黑" w:eastAsia="微软雅黑" w:cs="微软雅黑"/>
        <w:color w:val="333333"/>
        <w:spacing w:val="-3"/>
        <w:w w:val="100"/>
        <w:sz w:val="22"/>
        <w:szCs w:val="22"/>
        <w:lang w:val="zh-CN" w:eastAsia="zh-CN" w:bidi="zh-CN"/>
      </w:rPr>
    </w:lvl>
    <w:lvl w:ilvl="1" w:tentative="0">
      <w:start w:val="0"/>
      <w:numFmt w:val="bullet"/>
      <w:lvlText w:val="•"/>
      <w:lvlJc w:val="left"/>
      <w:pPr>
        <w:ind w:left="3422" w:hanging="201"/>
      </w:pPr>
      <w:rPr>
        <w:rFonts w:hint="default"/>
        <w:lang w:val="zh-CN" w:eastAsia="zh-CN" w:bidi="zh-CN"/>
      </w:rPr>
    </w:lvl>
    <w:lvl w:ilvl="2" w:tentative="0">
      <w:start w:val="0"/>
      <w:numFmt w:val="bullet"/>
      <w:lvlText w:val="•"/>
      <w:lvlJc w:val="left"/>
      <w:pPr>
        <w:ind w:left="4365" w:hanging="201"/>
      </w:pPr>
      <w:rPr>
        <w:rFonts w:hint="default"/>
        <w:lang w:val="zh-CN" w:eastAsia="zh-CN" w:bidi="zh-CN"/>
      </w:rPr>
    </w:lvl>
    <w:lvl w:ilvl="3" w:tentative="0">
      <w:start w:val="0"/>
      <w:numFmt w:val="bullet"/>
      <w:lvlText w:val="•"/>
      <w:lvlJc w:val="left"/>
      <w:pPr>
        <w:ind w:left="5307" w:hanging="201"/>
      </w:pPr>
      <w:rPr>
        <w:rFonts w:hint="default"/>
        <w:lang w:val="zh-CN" w:eastAsia="zh-CN" w:bidi="zh-CN"/>
      </w:rPr>
    </w:lvl>
    <w:lvl w:ilvl="4" w:tentative="0">
      <w:start w:val="0"/>
      <w:numFmt w:val="bullet"/>
      <w:lvlText w:val="•"/>
      <w:lvlJc w:val="left"/>
      <w:pPr>
        <w:ind w:left="6250" w:hanging="201"/>
      </w:pPr>
      <w:rPr>
        <w:rFonts w:hint="default"/>
        <w:lang w:val="zh-CN" w:eastAsia="zh-CN" w:bidi="zh-CN"/>
      </w:rPr>
    </w:lvl>
    <w:lvl w:ilvl="5" w:tentative="0">
      <w:start w:val="0"/>
      <w:numFmt w:val="bullet"/>
      <w:lvlText w:val="•"/>
      <w:lvlJc w:val="left"/>
      <w:pPr>
        <w:ind w:left="7193" w:hanging="201"/>
      </w:pPr>
      <w:rPr>
        <w:rFonts w:hint="default"/>
        <w:lang w:val="zh-CN" w:eastAsia="zh-CN" w:bidi="zh-CN"/>
      </w:rPr>
    </w:lvl>
    <w:lvl w:ilvl="6" w:tentative="0">
      <w:start w:val="0"/>
      <w:numFmt w:val="bullet"/>
      <w:lvlText w:val="•"/>
      <w:lvlJc w:val="left"/>
      <w:pPr>
        <w:ind w:left="8135" w:hanging="201"/>
      </w:pPr>
      <w:rPr>
        <w:rFonts w:hint="default"/>
        <w:lang w:val="zh-CN" w:eastAsia="zh-CN" w:bidi="zh-CN"/>
      </w:rPr>
    </w:lvl>
    <w:lvl w:ilvl="7" w:tentative="0">
      <w:start w:val="0"/>
      <w:numFmt w:val="bullet"/>
      <w:lvlText w:val="•"/>
      <w:lvlJc w:val="left"/>
      <w:pPr>
        <w:ind w:left="9078" w:hanging="201"/>
      </w:pPr>
      <w:rPr>
        <w:rFonts w:hint="default"/>
        <w:lang w:val="zh-CN" w:eastAsia="zh-CN" w:bidi="zh-CN"/>
      </w:rPr>
    </w:lvl>
    <w:lvl w:ilvl="8" w:tentative="0">
      <w:start w:val="0"/>
      <w:numFmt w:val="bullet"/>
      <w:lvlText w:val="•"/>
      <w:lvlJc w:val="left"/>
      <w:pPr>
        <w:ind w:left="10020" w:hanging="201"/>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2900" w:hanging="621"/>
        <w:jc w:val="left"/>
      </w:pPr>
      <w:rPr>
        <w:rFonts w:hint="default" w:ascii="微软雅黑" w:hAnsi="微软雅黑" w:eastAsia="微软雅黑" w:cs="微软雅黑"/>
        <w:color w:val="333333"/>
        <w:spacing w:val="-2"/>
        <w:w w:val="100"/>
        <w:sz w:val="22"/>
        <w:szCs w:val="22"/>
        <w:lang w:val="zh-CN" w:eastAsia="zh-CN" w:bidi="zh-CN"/>
      </w:rPr>
    </w:lvl>
    <w:lvl w:ilvl="1" w:tentative="0">
      <w:start w:val="0"/>
      <w:numFmt w:val="bullet"/>
      <w:lvlText w:val="•"/>
      <w:lvlJc w:val="left"/>
      <w:pPr>
        <w:ind w:left="3800" w:hanging="621"/>
      </w:pPr>
      <w:rPr>
        <w:rFonts w:hint="default"/>
        <w:lang w:val="zh-CN" w:eastAsia="zh-CN" w:bidi="zh-CN"/>
      </w:rPr>
    </w:lvl>
    <w:lvl w:ilvl="2" w:tentative="0">
      <w:start w:val="0"/>
      <w:numFmt w:val="bullet"/>
      <w:lvlText w:val="•"/>
      <w:lvlJc w:val="left"/>
      <w:pPr>
        <w:ind w:left="4701" w:hanging="621"/>
      </w:pPr>
      <w:rPr>
        <w:rFonts w:hint="default"/>
        <w:lang w:val="zh-CN" w:eastAsia="zh-CN" w:bidi="zh-CN"/>
      </w:rPr>
    </w:lvl>
    <w:lvl w:ilvl="3" w:tentative="0">
      <w:start w:val="0"/>
      <w:numFmt w:val="bullet"/>
      <w:lvlText w:val="•"/>
      <w:lvlJc w:val="left"/>
      <w:pPr>
        <w:ind w:left="5601" w:hanging="621"/>
      </w:pPr>
      <w:rPr>
        <w:rFonts w:hint="default"/>
        <w:lang w:val="zh-CN" w:eastAsia="zh-CN" w:bidi="zh-CN"/>
      </w:rPr>
    </w:lvl>
    <w:lvl w:ilvl="4" w:tentative="0">
      <w:start w:val="0"/>
      <w:numFmt w:val="bullet"/>
      <w:lvlText w:val="•"/>
      <w:lvlJc w:val="left"/>
      <w:pPr>
        <w:ind w:left="6502" w:hanging="621"/>
      </w:pPr>
      <w:rPr>
        <w:rFonts w:hint="default"/>
        <w:lang w:val="zh-CN" w:eastAsia="zh-CN" w:bidi="zh-CN"/>
      </w:rPr>
    </w:lvl>
    <w:lvl w:ilvl="5" w:tentative="0">
      <w:start w:val="0"/>
      <w:numFmt w:val="bullet"/>
      <w:lvlText w:val="•"/>
      <w:lvlJc w:val="left"/>
      <w:pPr>
        <w:ind w:left="7403" w:hanging="621"/>
      </w:pPr>
      <w:rPr>
        <w:rFonts w:hint="default"/>
        <w:lang w:val="zh-CN" w:eastAsia="zh-CN" w:bidi="zh-CN"/>
      </w:rPr>
    </w:lvl>
    <w:lvl w:ilvl="6" w:tentative="0">
      <w:start w:val="0"/>
      <w:numFmt w:val="bullet"/>
      <w:lvlText w:val="•"/>
      <w:lvlJc w:val="left"/>
      <w:pPr>
        <w:ind w:left="8303" w:hanging="621"/>
      </w:pPr>
      <w:rPr>
        <w:rFonts w:hint="default"/>
        <w:lang w:val="zh-CN" w:eastAsia="zh-CN" w:bidi="zh-CN"/>
      </w:rPr>
    </w:lvl>
    <w:lvl w:ilvl="7" w:tentative="0">
      <w:start w:val="0"/>
      <w:numFmt w:val="bullet"/>
      <w:lvlText w:val="•"/>
      <w:lvlJc w:val="left"/>
      <w:pPr>
        <w:ind w:left="9204" w:hanging="621"/>
      </w:pPr>
      <w:rPr>
        <w:rFonts w:hint="default"/>
        <w:lang w:val="zh-CN" w:eastAsia="zh-CN" w:bidi="zh-CN"/>
      </w:rPr>
    </w:lvl>
    <w:lvl w:ilvl="8" w:tentative="0">
      <w:start w:val="0"/>
      <w:numFmt w:val="bullet"/>
      <w:lvlText w:val="•"/>
      <w:lvlJc w:val="left"/>
      <w:pPr>
        <w:ind w:left="10104" w:hanging="621"/>
      </w:pPr>
      <w:rPr>
        <w:rFonts w:hint="default"/>
        <w:lang w:val="zh-CN" w:eastAsia="zh-CN" w:bidi="zh-CN"/>
      </w:rPr>
    </w:lvl>
  </w:abstractNum>
  <w:abstractNum w:abstractNumId="3">
    <w:nsid w:val="8CAEB125"/>
    <w:multiLevelType w:val="multilevel"/>
    <w:tmpl w:val="8CAEB125"/>
    <w:lvl w:ilvl="0" w:tentative="0">
      <w:start w:val="1"/>
      <w:numFmt w:val="decimal"/>
      <w:lvlText w:val="（%1）"/>
      <w:lvlJc w:val="left"/>
      <w:pPr>
        <w:ind w:left="2900" w:hanging="621"/>
        <w:jc w:val="left"/>
      </w:pPr>
      <w:rPr>
        <w:rFonts w:hint="default" w:ascii="微软雅黑" w:hAnsi="微软雅黑" w:eastAsia="微软雅黑" w:cs="微软雅黑"/>
        <w:color w:val="333333"/>
        <w:spacing w:val="-2"/>
        <w:w w:val="100"/>
        <w:sz w:val="22"/>
        <w:szCs w:val="22"/>
        <w:lang w:val="zh-CN" w:eastAsia="zh-CN" w:bidi="zh-CN"/>
      </w:rPr>
    </w:lvl>
    <w:lvl w:ilvl="1" w:tentative="0">
      <w:start w:val="0"/>
      <w:numFmt w:val="bullet"/>
      <w:lvlText w:val="•"/>
      <w:lvlJc w:val="left"/>
      <w:pPr>
        <w:ind w:left="3800" w:hanging="621"/>
      </w:pPr>
      <w:rPr>
        <w:rFonts w:hint="default"/>
        <w:lang w:val="zh-CN" w:eastAsia="zh-CN" w:bidi="zh-CN"/>
      </w:rPr>
    </w:lvl>
    <w:lvl w:ilvl="2" w:tentative="0">
      <w:start w:val="0"/>
      <w:numFmt w:val="bullet"/>
      <w:lvlText w:val="•"/>
      <w:lvlJc w:val="left"/>
      <w:pPr>
        <w:ind w:left="4701" w:hanging="621"/>
      </w:pPr>
      <w:rPr>
        <w:rFonts w:hint="default"/>
        <w:lang w:val="zh-CN" w:eastAsia="zh-CN" w:bidi="zh-CN"/>
      </w:rPr>
    </w:lvl>
    <w:lvl w:ilvl="3" w:tentative="0">
      <w:start w:val="0"/>
      <w:numFmt w:val="bullet"/>
      <w:lvlText w:val="•"/>
      <w:lvlJc w:val="left"/>
      <w:pPr>
        <w:ind w:left="5601" w:hanging="621"/>
      </w:pPr>
      <w:rPr>
        <w:rFonts w:hint="default"/>
        <w:lang w:val="zh-CN" w:eastAsia="zh-CN" w:bidi="zh-CN"/>
      </w:rPr>
    </w:lvl>
    <w:lvl w:ilvl="4" w:tentative="0">
      <w:start w:val="0"/>
      <w:numFmt w:val="bullet"/>
      <w:lvlText w:val="•"/>
      <w:lvlJc w:val="left"/>
      <w:pPr>
        <w:ind w:left="6502" w:hanging="621"/>
      </w:pPr>
      <w:rPr>
        <w:rFonts w:hint="default"/>
        <w:lang w:val="zh-CN" w:eastAsia="zh-CN" w:bidi="zh-CN"/>
      </w:rPr>
    </w:lvl>
    <w:lvl w:ilvl="5" w:tentative="0">
      <w:start w:val="0"/>
      <w:numFmt w:val="bullet"/>
      <w:lvlText w:val="•"/>
      <w:lvlJc w:val="left"/>
      <w:pPr>
        <w:ind w:left="7403" w:hanging="621"/>
      </w:pPr>
      <w:rPr>
        <w:rFonts w:hint="default"/>
        <w:lang w:val="zh-CN" w:eastAsia="zh-CN" w:bidi="zh-CN"/>
      </w:rPr>
    </w:lvl>
    <w:lvl w:ilvl="6" w:tentative="0">
      <w:start w:val="0"/>
      <w:numFmt w:val="bullet"/>
      <w:lvlText w:val="•"/>
      <w:lvlJc w:val="left"/>
      <w:pPr>
        <w:ind w:left="8303" w:hanging="621"/>
      </w:pPr>
      <w:rPr>
        <w:rFonts w:hint="default"/>
        <w:lang w:val="zh-CN" w:eastAsia="zh-CN" w:bidi="zh-CN"/>
      </w:rPr>
    </w:lvl>
    <w:lvl w:ilvl="7" w:tentative="0">
      <w:start w:val="0"/>
      <w:numFmt w:val="bullet"/>
      <w:lvlText w:val="•"/>
      <w:lvlJc w:val="left"/>
      <w:pPr>
        <w:ind w:left="9204" w:hanging="621"/>
      </w:pPr>
      <w:rPr>
        <w:rFonts w:hint="default"/>
        <w:lang w:val="zh-CN" w:eastAsia="zh-CN" w:bidi="zh-CN"/>
      </w:rPr>
    </w:lvl>
    <w:lvl w:ilvl="8" w:tentative="0">
      <w:start w:val="0"/>
      <w:numFmt w:val="bullet"/>
      <w:lvlText w:val="•"/>
      <w:lvlJc w:val="left"/>
      <w:pPr>
        <w:ind w:left="10104" w:hanging="621"/>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2480" w:hanging="201"/>
        <w:jc w:val="left"/>
      </w:pPr>
      <w:rPr>
        <w:rFonts w:hint="default" w:ascii="微软雅黑" w:hAnsi="微软雅黑" w:eastAsia="微软雅黑" w:cs="微软雅黑"/>
        <w:color w:val="333333"/>
        <w:spacing w:val="-3"/>
        <w:w w:val="100"/>
        <w:sz w:val="22"/>
        <w:szCs w:val="22"/>
        <w:lang w:val="zh-CN" w:eastAsia="zh-CN" w:bidi="zh-CN"/>
      </w:rPr>
    </w:lvl>
    <w:lvl w:ilvl="1" w:tentative="0">
      <w:start w:val="0"/>
      <w:numFmt w:val="bullet"/>
      <w:lvlText w:val="•"/>
      <w:lvlJc w:val="left"/>
      <w:pPr>
        <w:ind w:left="3422" w:hanging="201"/>
      </w:pPr>
      <w:rPr>
        <w:rFonts w:hint="default"/>
        <w:lang w:val="zh-CN" w:eastAsia="zh-CN" w:bidi="zh-CN"/>
      </w:rPr>
    </w:lvl>
    <w:lvl w:ilvl="2" w:tentative="0">
      <w:start w:val="0"/>
      <w:numFmt w:val="bullet"/>
      <w:lvlText w:val="•"/>
      <w:lvlJc w:val="left"/>
      <w:pPr>
        <w:ind w:left="4365" w:hanging="201"/>
      </w:pPr>
      <w:rPr>
        <w:rFonts w:hint="default"/>
        <w:lang w:val="zh-CN" w:eastAsia="zh-CN" w:bidi="zh-CN"/>
      </w:rPr>
    </w:lvl>
    <w:lvl w:ilvl="3" w:tentative="0">
      <w:start w:val="0"/>
      <w:numFmt w:val="bullet"/>
      <w:lvlText w:val="•"/>
      <w:lvlJc w:val="left"/>
      <w:pPr>
        <w:ind w:left="5307" w:hanging="201"/>
      </w:pPr>
      <w:rPr>
        <w:rFonts w:hint="default"/>
        <w:lang w:val="zh-CN" w:eastAsia="zh-CN" w:bidi="zh-CN"/>
      </w:rPr>
    </w:lvl>
    <w:lvl w:ilvl="4" w:tentative="0">
      <w:start w:val="0"/>
      <w:numFmt w:val="bullet"/>
      <w:lvlText w:val="•"/>
      <w:lvlJc w:val="left"/>
      <w:pPr>
        <w:ind w:left="6250" w:hanging="201"/>
      </w:pPr>
      <w:rPr>
        <w:rFonts w:hint="default"/>
        <w:lang w:val="zh-CN" w:eastAsia="zh-CN" w:bidi="zh-CN"/>
      </w:rPr>
    </w:lvl>
    <w:lvl w:ilvl="5" w:tentative="0">
      <w:start w:val="0"/>
      <w:numFmt w:val="bullet"/>
      <w:lvlText w:val="•"/>
      <w:lvlJc w:val="left"/>
      <w:pPr>
        <w:ind w:left="7193" w:hanging="201"/>
      </w:pPr>
      <w:rPr>
        <w:rFonts w:hint="default"/>
        <w:lang w:val="zh-CN" w:eastAsia="zh-CN" w:bidi="zh-CN"/>
      </w:rPr>
    </w:lvl>
    <w:lvl w:ilvl="6" w:tentative="0">
      <w:start w:val="0"/>
      <w:numFmt w:val="bullet"/>
      <w:lvlText w:val="•"/>
      <w:lvlJc w:val="left"/>
      <w:pPr>
        <w:ind w:left="8135" w:hanging="201"/>
      </w:pPr>
      <w:rPr>
        <w:rFonts w:hint="default"/>
        <w:lang w:val="zh-CN" w:eastAsia="zh-CN" w:bidi="zh-CN"/>
      </w:rPr>
    </w:lvl>
    <w:lvl w:ilvl="7" w:tentative="0">
      <w:start w:val="0"/>
      <w:numFmt w:val="bullet"/>
      <w:lvlText w:val="•"/>
      <w:lvlJc w:val="left"/>
      <w:pPr>
        <w:ind w:left="9078" w:hanging="201"/>
      </w:pPr>
      <w:rPr>
        <w:rFonts w:hint="default"/>
        <w:lang w:val="zh-CN" w:eastAsia="zh-CN" w:bidi="zh-CN"/>
      </w:rPr>
    </w:lvl>
    <w:lvl w:ilvl="8" w:tentative="0">
      <w:start w:val="0"/>
      <w:numFmt w:val="bullet"/>
      <w:lvlText w:val="•"/>
      <w:lvlJc w:val="left"/>
      <w:pPr>
        <w:ind w:left="10020" w:hanging="201"/>
      </w:pPr>
      <w:rPr>
        <w:rFonts w:hint="default"/>
        <w:lang w:val="zh-CN" w:eastAsia="zh-CN" w:bidi="zh-CN"/>
      </w:rPr>
    </w:lvl>
  </w:abstractNum>
  <w:abstractNum w:abstractNumId="5">
    <w:nsid w:val="91B69C97"/>
    <w:multiLevelType w:val="multilevel"/>
    <w:tmpl w:val="91B69C97"/>
    <w:lvl w:ilvl="0" w:tentative="0">
      <w:start w:val="1"/>
      <w:numFmt w:val="decimal"/>
      <w:lvlText w:val="%1."/>
      <w:lvlJc w:val="left"/>
      <w:pPr>
        <w:ind w:left="1800" w:hanging="204"/>
        <w:jc w:val="left"/>
      </w:pPr>
      <w:rPr>
        <w:rFonts w:hint="default" w:ascii="微软雅黑" w:hAnsi="微软雅黑" w:eastAsia="微软雅黑" w:cs="微软雅黑"/>
        <w:color w:val="333333"/>
        <w:w w:val="100"/>
        <w:sz w:val="22"/>
        <w:szCs w:val="22"/>
        <w:lang w:val="zh-CN" w:eastAsia="zh-CN" w:bidi="zh-CN"/>
      </w:rPr>
    </w:lvl>
    <w:lvl w:ilvl="1" w:tentative="0">
      <w:start w:val="0"/>
      <w:numFmt w:val="bullet"/>
      <w:lvlText w:val="•"/>
      <w:lvlJc w:val="left"/>
      <w:pPr>
        <w:ind w:left="2810" w:hanging="204"/>
      </w:pPr>
      <w:rPr>
        <w:rFonts w:hint="default"/>
        <w:lang w:val="zh-CN" w:eastAsia="zh-CN" w:bidi="zh-CN"/>
      </w:rPr>
    </w:lvl>
    <w:lvl w:ilvl="2" w:tentative="0">
      <w:start w:val="0"/>
      <w:numFmt w:val="bullet"/>
      <w:lvlText w:val="•"/>
      <w:lvlJc w:val="left"/>
      <w:pPr>
        <w:ind w:left="3821" w:hanging="204"/>
      </w:pPr>
      <w:rPr>
        <w:rFonts w:hint="default"/>
        <w:lang w:val="zh-CN" w:eastAsia="zh-CN" w:bidi="zh-CN"/>
      </w:rPr>
    </w:lvl>
    <w:lvl w:ilvl="3" w:tentative="0">
      <w:start w:val="0"/>
      <w:numFmt w:val="bullet"/>
      <w:lvlText w:val="•"/>
      <w:lvlJc w:val="left"/>
      <w:pPr>
        <w:ind w:left="4831" w:hanging="204"/>
      </w:pPr>
      <w:rPr>
        <w:rFonts w:hint="default"/>
        <w:lang w:val="zh-CN" w:eastAsia="zh-CN" w:bidi="zh-CN"/>
      </w:rPr>
    </w:lvl>
    <w:lvl w:ilvl="4" w:tentative="0">
      <w:start w:val="0"/>
      <w:numFmt w:val="bullet"/>
      <w:lvlText w:val="•"/>
      <w:lvlJc w:val="left"/>
      <w:pPr>
        <w:ind w:left="5842" w:hanging="204"/>
      </w:pPr>
      <w:rPr>
        <w:rFonts w:hint="default"/>
        <w:lang w:val="zh-CN" w:eastAsia="zh-CN" w:bidi="zh-CN"/>
      </w:rPr>
    </w:lvl>
    <w:lvl w:ilvl="5" w:tentative="0">
      <w:start w:val="0"/>
      <w:numFmt w:val="bullet"/>
      <w:lvlText w:val="•"/>
      <w:lvlJc w:val="left"/>
      <w:pPr>
        <w:ind w:left="6853" w:hanging="204"/>
      </w:pPr>
      <w:rPr>
        <w:rFonts w:hint="default"/>
        <w:lang w:val="zh-CN" w:eastAsia="zh-CN" w:bidi="zh-CN"/>
      </w:rPr>
    </w:lvl>
    <w:lvl w:ilvl="6" w:tentative="0">
      <w:start w:val="0"/>
      <w:numFmt w:val="bullet"/>
      <w:lvlText w:val="•"/>
      <w:lvlJc w:val="left"/>
      <w:pPr>
        <w:ind w:left="7863" w:hanging="204"/>
      </w:pPr>
      <w:rPr>
        <w:rFonts w:hint="default"/>
        <w:lang w:val="zh-CN" w:eastAsia="zh-CN" w:bidi="zh-CN"/>
      </w:rPr>
    </w:lvl>
    <w:lvl w:ilvl="7" w:tentative="0">
      <w:start w:val="0"/>
      <w:numFmt w:val="bullet"/>
      <w:lvlText w:val="•"/>
      <w:lvlJc w:val="left"/>
      <w:pPr>
        <w:ind w:left="8874" w:hanging="204"/>
      </w:pPr>
      <w:rPr>
        <w:rFonts w:hint="default"/>
        <w:lang w:val="zh-CN" w:eastAsia="zh-CN" w:bidi="zh-CN"/>
      </w:rPr>
    </w:lvl>
    <w:lvl w:ilvl="8" w:tentative="0">
      <w:start w:val="0"/>
      <w:numFmt w:val="bullet"/>
      <w:lvlText w:val="•"/>
      <w:lvlJc w:val="left"/>
      <w:pPr>
        <w:ind w:left="9884" w:hanging="204"/>
      </w:pPr>
      <w:rPr>
        <w:rFonts w:hint="default"/>
        <w:lang w:val="zh-CN" w:eastAsia="zh-CN" w:bidi="zh-CN"/>
      </w:rPr>
    </w:lvl>
  </w:abstractNum>
  <w:abstractNum w:abstractNumId="6">
    <w:nsid w:val="9239341B"/>
    <w:multiLevelType w:val="multilevel"/>
    <w:tmpl w:val="9239341B"/>
    <w:lvl w:ilvl="0" w:tentative="0">
      <w:start w:val="2"/>
      <w:numFmt w:val="decimal"/>
      <w:lvlText w:val="（%1）"/>
      <w:lvlJc w:val="left"/>
      <w:pPr>
        <w:ind w:left="1800" w:hanging="623"/>
        <w:jc w:val="left"/>
      </w:pPr>
      <w:rPr>
        <w:rFonts w:hint="default" w:ascii="微软雅黑" w:hAnsi="微软雅黑" w:eastAsia="微软雅黑" w:cs="微软雅黑"/>
        <w:color w:val="333333"/>
        <w:spacing w:val="-19"/>
        <w:w w:val="100"/>
        <w:sz w:val="22"/>
        <w:szCs w:val="22"/>
        <w:lang w:val="zh-CN" w:eastAsia="zh-CN" w:bidi="zh-CN"/>
      </w:rPr>
    </w:lvl>
    <w:lvl w:ilvl="1" w:tentative="0">
      <w:start w:val="0"/>
      <w:numFmt w:val="bullet"/>
      <w:lvlText w:val="•"/>
      <w:lvlJc w:val="left"/>
      <w:pPr>
        <w:ind w:left="2810" w:hanging="623"/>
      </w:pPr>
      <w:rPr>
        <w:rFonts w:hint="default"/>
        <w:lang w:val="zh-CN" w:eastAsia="zh-CN" w:bidi="zh-CN"/>
      </w:rPr>
    </w:lvl>
    <w:lvl w:ilvl="2" w:tentative="0">
      <w:start w:val="0"/>
      <w:numFmt w:val="bullet"/>
      <w:lvlText w:val="•"/>
      <w:lvlJc w:val="left"/>
      <w:pPr>
        <w:ind w:left="3821" w:hanging="623"/>
      </w:pPr>
      <w:rPr>
        <w:rFonts w:hint="default"/>
        <w:lang w:val="zh-CN" w:eastAsia="zh-CN" w:bidi="zh-CN"/>
      </w:rPr>
    </w:lvl>
    <w:lvl w:ilvl="3" w:tentative="0">
      <w:start w:val="0"/>
      <w:numFmt w:val="bullet"/>
      <w:lvlText w:val="•"/>
      <w:lvlJc w:val="left"/>
      <w:pPr>
        <w:ind w:left="4831" w:hanging="623"/>
      </w:pPr>
      <w:rPr>
        <w:rFonts w:hint="default"/>
        <w:lang w:val="zh-CN" w:eastAsia="zh-CN" w:bidi="zh-CN"/>
      </w:rPr>
    </w:lvl>
    <w:lvl w:ilvl="4" w:tentative="0">
      <w:start w:val="0"/>
      <w:numFmt w:val="bullet"/>
      <w:lvlText w:val="•"/>
      <w:lvlJc w:val="left"/>
      <w:pPr>
        <w:ind w:left="5842" w:hanging="623"/>
      </w:pPr>
      <w:rPr>
        <w:rFonts w:hint="default"/>
        <w:lang w:val="zh-CN" w:eastAsia="zh-CN" w:bidi="zh-CN"/>
      </w:rPr>
    </w:lvl>
    <w:lvl w:ilvl="5" w:tentative="0">
      <w:start w:val="0"/>
      <w:numFmt w:val="bullet"/>
      <w:lvlText w:val="•"/>
      <w:lvlJc w:val="left"/>
      <w:pPr>
        <w:ind w:left="6853" w:hanging="623"/>
      </w:pPr>
      <w:rPr>
        <w:rFonts w:hint="default"/>
        <w:lang w:val="zh-CN" w:eastAsia="zh-CN" w:bidi="zh-CN"/>
      </w:rPr>
    </w:lvl>
    <w:lvl w:ilvl="6" w:tentative="0">
      <w:start w:val="0"/>
      <w:numFmt w:val="bullet"/>
      <w:lvlText w:val="•"/>
      <w:lvlJc w:val="left"/>
      <w:pPr>
        <w:ind w:left="7863" w:hanging="623"/>
      </w:pPr>
      <w:rPr>
        <w:rFonts w:hint="default"/>
        <w:lang w:val="zh-CN" w:eastAsia="zh-CN" w:bidi="zh-CN"/>
      </w:rPr>
    </w:lvl>
    <w:lvl w:ilvl="7" w:tentative="0">
      <w:start w:val="0"/>
      <w:numFmt w:val="bullet"/>
      <w:lvlText w:val="•"/>
      <w:lvlJc w:val="left"/>
      <w:pPr>
        <w:ind w:left="8874" w:hanging="623"/>
      </w:pPr>
      <w:rPr>
        <w:rFonts w:hint="default"/>
        <w:lang w:val="zh-CN" w:eastAsia="zh-CN" w:bidi="zh-CN"/>
      </w:rPr>
    </w:lvl>
    <w:lvl w:ilvl="8" w:tentative="0">
      <w:start w:val="0"/>
      <w:numFmt w:val="bullet"/>
      <w:lvlText w:val="•"/>
      <w:lvlJc w:val="left"/>
      <w:pPr>
        <w:ind w:left="9884" w:hanging="623"/>
      </w:pPr>
      <w:rPr>
        <w:rFonts w:hint="default"/>
        <w:lang w:val="zh-CN" w:eastAsia="zh-CN" w:bidi="zh-CN"/>
      </w:rPr>
    </w:lvl>
  </w:abstractNum>
  <w:abstractNum w:abstractNumId="7">
    <w:nsid w:val="9288B902"/>
    <w:multiLevelType w:val="multilevel"/>
    <w:tmpl w:val="9288B902"/>
    <w:lvl w:ilvl="0" w:tentative="0">
      <w:start w:val="1"/>
      <w:numFmt w:val="decimal"/>
      <w:lvlText w:val="（%1）"/>
      <w:lvlJc w:val="left"/>
      <w:pPr>
        <w:ind w:left="2900" w:hanging="621"/>
        <w:jc w:val="left"/>
      </w:pPr>
      <w:rPr>
        <w:rFonts w:hint="default" w:ascii="微软雅黑" w:hAnsi="微软雅黑" w:eastAsia="微软雅黑" w:cs="微软雅黑"/>
        <w:color w:val="333333"/>
        <w:spacing w:val="-2"/>
        <w:w w:val="100"/>
        <w:sz w:val="22"/>
        <w:szCs w:val="22"/>
        <w:lang w:val="zh-CN" w:eastAsia="zh-CN" w:bidi="zh-CN"/>
      </w:rPr>
    </w:lvl>
    <w:lvl w:ilvl="1" w:tentative="0">
      <w:start w:val="0"/>
      <w:numFmt w:val="bullet"/>
      <w:lvlText w:val="•"/>
      <w:lvlJc w:val="left"/>
      <w:pPr>
        <w:ind w:left="3800" w:hanging="621"/>
      </w:pPr>
      <w:rPr>
        <w:rFonts w:hint="default"/>
        <w:lang w:val="zh-CN" w:eastAsia="zh-CN" w:bidi="zh-CN"/>
      </w:rPr>
    </w:lvl>
    <w:lvl w:ilvl="2" w:tentative="0">
      <w:start w:val="0"/>
      <w:numFmt w:val="bullet"/>
      <w:lvlText w:val="•"/>
      <w:lvlJc w:val="left"/>
      <w:pPr>
        <w:ind w:left="4701" w:hanging="621"/>
      </w:pPr>
      <w:rPr>
        <w:rFonts w:hint="default"/>
        <w:lang w:val="zh-CN" w:eastAsia="zh-CN" w:bidi="zh-CN"/>
      </w:rPr>
    </w:lvl>
    <w:lvl w:ilvl="3" w:tentative="0">
      <w:start w:val="0"/>
      <w:numFmt w:val="bullet"/>
      <w:lvlText w:val="•"/>
      <w:lvlJc w:val="left"/>
      <w:pPr>
        <w:ind w:left="5601" w:hanging="621"/>
      </w:pPr>
      <w:rPr>
        <w:rFonts w:hint="default"/>
        <w:lang w:val="zh-CN" w:eastAsia="zh-CN" w:bidi="zh-CN"/>
      </w:rPr>
    </w:lvl>
    <w:lvl w:ilvl="4" w:tentative="0">
      <w:start w:val="0"/>
      <w:numFmt w:val="bullet"/>
      <w:lvlText w:val="•"/>
      <w:lvlJc w:val="left"/>
      <w:pPr>
        <w:ind w:left="6502" w:hanging="621"/>
      </w:pPr>
      <w:rPr>
        <w:rFonts w:hint="default"/>
        <w:lang w:val="zh-CN" w:eastAsia="zh-CN" w:bidi="zh-CN"/>
      </w:rPr>
    </w:lvl>
    <w:lvl w:ilvl="5" w:tentative="0">
      <w:start w:val="0"/>
      <w:numFmt w:val="bullet"/>
      <w:lvlText w:val="•"/>
      <w:lvlJc w:val="left"/>
      <w:pPr>
        <w:ind w:left="7403" w:hanging="621"/>
      </w:pPr>
      <w:rPr>
        <w:rFonts w:hint="default"/>
        <w:lang w:val="zh-CN" w:eastAsia="zh-CN" w:bidi="zh-CN"/>
      </w:rPr>
    </w:lvl>
    <w:lvl w:ilvl="6" w:tentative="0">
      <w:start w:val="0"/>
      <w:numFmt w:val="bullet"/>
      <w:lvlText w:val="•"/>
      <w:lvlJc w:val="left"/>
      <w:pPr>
        <w:ind w:left="8303" w:hanging="621"/>
      </w:pPr>
      <w:rPr>
        <w:rFonts w:hint="default"/>
        <w:lang w:val="zh-CN" w:eastAsia="zh-CN" w:bidi="zh-CN"/>
      </w:rPr>
    </w:lvl>
    <w:lvl w:ilvl="7" w:tentative="0">
      <w:start w:val="0"/>
      <w:numFmt w:val="bullet"/>
      <w:lvlText w:val="•"/>
      <w:lvlJc w:val="left"/>
      <w:pPr>
        <w:ind w:left="9204" w:hanging="621"/>
      </w:pPr>
      <w:rPr>
        <w:rFonts w:hint="default"/>
        <w:lang w:val="zh-CN" w:eastAsia="zh-CN" w:bidi="zh-CN"/>
      </w:rPr>
    </w:lvl>
    <w:lvl w:ilvl="8" w:tentative="0">
      <w:start w:val="0"/>
      <w:numFmt w:val="bullet"/>
      <w:lvlText w:val="•"/>
      <w:lvlJc w:val="left"/>
      <w:pPr>
        <w:ind w:left="10104" w:hanging="621"/>
      </w:pPr>
      <w:rPr>
        <w:rFonts w:hint="default"/>
        <w:lang w:val="zh-CN" w:eastAsia="zh-CN" w:bidi="zh-CN"/>
      </w:rPr>
    </w:lvl>
  </w:abstractNum>
  <w:abstractNum w:abstractNumId="8">
    <w:nsid w:val="9377BC45"/>
    <w:multiLevelType w:val="multilevel"/>
    <w:tmpl w:val="9377BC45"/>
    <w:lvl w:ilvl="0" w:tentative="0">
      <w:start w:val="1"/>
      <w:numFmt w:val="decimal"/>
      <w:lvlText w:val="%1."/>
      <w:lvlJc w:val="left"/>
      <w:pPr>
        <w:ind w:left="2463"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3404" w:hanging="184"/>
      </w:pPr>
      <w:rPr>
        <w:rFonts w:hint="default"/>
        <w:lang w:val="zh-CN" w:eastAsia="zh-CN" w:bidi="zh-CN"/>
      </w:rPr>
    </w:lvl>
    <w:lvl w:ilvl="2" w:tentative="0">
      <w:start w:val="0"/>
      <w:numFmt w:val="bullet"/>
      <w:lvlText w:val="•"/>
      <w:lvlJc w:val="left"/>
      <w:pPr>
        <w:ind w:left="4349" w:hanging="184"/>
      </w:pPr>
      <w:rPr>
        <w:rFonts w:hint="default"/>
        <w:lang w:val="zh-CN" w:eastAsia="zh-CN" w:bidi="zh-CN"/>
      </w:rPr>
    </w:lvl>
    <w:lvl w:ilvl="3" w:tentative="0">
      <w:start w:val="0"/>
      <w:numFmt w:val="bullet"/>
      <w:lvlText w:val="•"/>
      <w:lvlJc w:val="left"/>
      <w:pPr>
        <w:ind w:left="5293" w:hanging="184"/>
      </w:pPr>
      <w:rPr>
        <w:rFonts w:hint="default"/>
        <w:lang w:val="zh-CN" w:eastAsia="zh-CN" w:bidi="zh-CN"/>
      </w:rPr>
    </w:lvl>
    <w:lvl w:ilvl="4" w:tentative="0">
      <w:start w:val="0"/>
      <w:numFmt w:val="bullet"/>
      <w:lvlText w:val="•"/>
      <w:lvlJc w:val="left"/>
      <w:pPr>
        <w:ind w:left="6238" w:hanging="184"/>
      </w:pPr>
      <w:rPr>
        <w:rFonts w:hint="default"/>
        <w:lang w:val="zh-CN" w:eastAsia="zh-CN" w:bidi="zh-CN"/>
      </w:rPr>
    </w:lvl>
    <w:lvl w:ilvl="5" w:tentative="0">
      <w:start w:val="0"/>
      <w:numFmt w:val="bullet"/>
      <w:lvlText w:val="•"/>
      <w:lvlJc w:val="left"/>
      <w:pPr>
        <w:ind w:left="7183" w:hanging="184"/>
      </w:pPr>
      <w:rPr>
        <w:rFonts w:hint="default"/>
        <w:lang w:val="zh-CN" w:eastAsia="zh-CN" w:bidi="zh-CN"/>
      </w:rPr>
    </w:lvl>
    <w:lvl w:ilvl="6" w:tentative="0">
      <w:start w:val="0"/>
      <w:numFmt w:val="bullet"/>
      <w:lvlText w:val="•"/>
      <w:lvlJc w:val="left"/>
      <w:pPr>
        <w:ind w:left="8127" w:hanging="184"/>
      </w:pPr>
      <w:rPr>
        <w:rFonts w:hint="default"/>
        <w:lang w:val="zh-CN" w:eastAsia="zh-CN" w:bidi="zh-CN"/>
      </w:rPr>
    </w:lvl>
    <w:lvl w:ilvl="7" w:tentative="0">
      <w:start w:val="0"/>
      <w:numFmt w:val="bullet"/>
      <w:lvlText w:val="•"/>
      <w:lvlJc w:val="left"/>
      <w:pPr>
        <w:ind w:left="9072" w:hanging="184"/>
      </w:pPr>
      <w:rPr>
        <w:rFonts w:hint="default"/>
        <w:lang w:val="zh-CN" w:eastAsia="zh-CN" w:bidi="zh-CN"/>
      </w:rPr>
    </w:lvl>
    <w:lvl w:ilvl="8" w:tentative="0">
      <w:start w:val="0"/>
      <w:numFmt w:val="bullet"/>
      <w:lvlText w:val="•"/>
      <w:lvlJc w:val="left"/>
      <w:pPr>
        <w:ind w:left="10016" w:hanging="184"/>
      </w:pPr>
      <w:rPr>
        <w:rFonts w:hint="default"/>
        <w:lang w:val="zh-CN" w:eastAsia="zh-CN" w:bidi="zh-CN"/>
      </w:rPr>
    </w:lvl>
  </w:abstractNum>
  <w:abstractNum w:abstractNumId="9">
    <w:nsid w:val="9ACF65A0"/>
    <w:multiLevelType w:val="multilevel"/>
    <w:tmpl w:val="9ACF65A0"/>
    <w:lvl w:ilvl="0" w:tentative="0">
      <w:start w:val="1"/>
      <w:numFmt w:val="decimal"/>
      <w:lvlText w:val="%1."/>
      <w:lvlJc w:val="left"/>
      <w:pPr>
        <w:ind w:left="1800"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2810" w:hanging="184"/>
      </w:pPr>
      <w:rPr>
        <w:rFonts w:hint="default"/>
        <w:lang w:val="zh-CN" w:eastAsia="zh-CN" w:bidi="zh-CN"/>
      </w:rPr>
    </w:lvl>
    <w:lvl w:ilvl="2" w:tentative="0">
      <w:start w:val="0"/>
      <w:numFmt w:val="bullet"/>
      <w:lvlText w:val="•"/>
      <w:lvlJc w:val="left"/>
      <w:pPr>
        <w:ind w:left="3821" w:hanging="184"/>
      </w:pPr>
      <w:rPr>
        <w:rFonts w:hint="default"/>
        <w:lang w:val="zh-CN" w:eastAsia="zh-CN" w:bidi="zh-CN"/>
      </w:rPr>
    </w:lvl>
    <w:lvl w:ilvl="3" w:tentative="0">
      <w:start w:val="0"/>
      <w:numFmt w:val="bullet"/>
      <w:lvlText w:val="•"/>
      <w:lvlJc w:val="left"/>
      <w:pPr>
        <w:ind w:left="4831" w:hanging="184"/>
      </w:pPr>
      <w:rPr>
        <w:rFonts w:hint="default"/>
        <w:lang w:val="zh-CN" w:eastAsia="zh-CN" w:bidi="zh-CN"/>
      </w:rPr>
    </w:lvl>
    <w:lvl w:ilvl="4" w:tentative="0">
      <w:start w:val="0"/>
      <w:numFmt w:val="bullet"/>
      <w:lvlText w:val="•"/>
      <w:lvlJc w:val="left"/>
      <w:pPr>
        <w:ind w:left="5842" w:hanging="184"/>
      </w:pPr>
      <w:rPr>
        <w:rFonts w:hint="default"/>
        <w:lang w:val="zh-CN" w:eastAsia="zh-CN" w:bidi="zh-CN"/>
      </w:rPr>
    </w:lvl>
    <w:lvl w:ilvl="5" w:tentative="0">
      <w:start w:val="0"/>
      <w:numFmt w:val="bullet"/>
      <w:lvlText w:val="•"/>
      <w:lvlJc w:val="left"/>
      <w:pPr>
        <w:ind w:left="6853" w:hanging="184"/>
      </w:pPr>
      <w:rPr>
        <w:rFonts w:hint="default"/>
        <w:lang w:val="zh-CN" w:eastAsia="zh-CN" w:bidi="zh-CN"/>
      </w:rPr>
    </w:lvl>
    <w:lvl w:ilvl="6" w:tentative="0">
      <w:start w:val="0"/>
      <w:numFmt w:val="bullet"/>
      <w:lvlText w:val="•"/>
      <w:lvlJc w:val="left"/>
      <w:pPr>
        <w:ind w:left="7863" w:hanging="184"/>
      </w:pPr>
      <w:rPr>
        <w:rFonts w:hint="default"/>
        <w:lang w:val="zh-CN" w:eastAsia="zh-CN" w:bidi="zh-CN"/>
      </w:rPr>
    </w:lvl>
    <w:lvl w:ilvl="7" w:tentative="0">
      <w:start w:val="0"/>
      <w:numFmt w:val="bullet"/>
      <w:lvlText w:val="•"/>
      <w:lvlJc w:val="left"/>
      <w:pPr>
        <w:ind w:left="8874" w:hanging="184"/>
      </w:pPr>
      <w:rPr>
        <w:rFonts w:hint="default"/>
        <w:lang w:val="zh-CN" w:eastAsia="zh-CN" w:bidi="zh-CN"/>
      </w:rPr>
    </w:lvl>
    <w:lvl w:ilvl="8" w:tentative="0">
      <w:start w:val="0"/>
      <w:numFmt w:val="bullet"/>
      <w:lvlText w:val="•"/>
      <w:lvlJc w:val="left"/>
      <w:pPr>
        <w:ind w:left="9884" w:hanging="184"/>
      </w:pPr>
      <w:rPr>
        <w:rFonts w:hint="default"/>
        <w:lang w:val="zh-CN" w:eastAsia="zh-CN" w:bidi="zh-CN"/>
      </w:rPr>
    </w:lvl>
  </w:abstractNum>
  <w:abstractNum w:abstractNumId="10">
    <w:nsid w:val="9C8AC8EF"/>
    <w:multiLevelType w:val="multilevel"/>
    <w:tmpl w:val="9C8AC8EF"/>
    <w:lvl w:ilvl="0" w:tentative="0">
      <w:start w:val="1"/>
      <w:numFmt w:val="decimal"/>
      <w:lvlText w:val="（%1）"/>
      <w:lvlJc w:val="left"/>
      <w:pPr>
        <w:ind w:left="1800" w:hanging="623"/>
        <w:jc w:val="left"/>
      </w:pPr>
      <w:rPr>
        <w:rFonts w:hint="default" w:ascii="微软雅黑" w:hAnsi="微软雅黑" w:eastAsia="微软雅黑" w:cs="微软雅黑"/>
        <w:spacing w:val="-16"/>
        <w:w w:val="100"/>
        <w:sz w:val="22"/>
        <w:szCs w:val="22"/>
        <w:lang w:val="zh-CN" w:eastAsia="zh-CN" w:bidi="zh-CN"/>
      </w:rPr>
    </w:lvl>
    <w:lvl w:ilvl="1" w:tentative="0">
      <w:start w:val="0"/>
      <w:numFmt w:val="bullet"/>
      <w:lvlText w:val="•"/>
      <w:lvlJc w:val="left"/>
      <w:pPr>
        <w:ind w:left="2810" w:hanging="623"/>
      </w:pPr>
      <w:rPr>
        <w:rFonts w:hint="default"/>
        <w:lang w:val="zh-CN" w:eastAsia="zh-CN" w:bidi="zh-CN"/>
      </w:rPr>
    </w:lvl>
    <w:lvl w:ilvl="2" w:tentative="0">
      <w:start w:val="0"/>
      <w:numFmt w:val="bullet"/>
      <w:lvlText w:val="•"/>
      <w:lvlJc w:val="left"/>
      <w:pPr>
        <w:ind w:left="3821" w:hanging="623"/>
      </w:pPr>
      <w:rPr>
        <w:rFonts w:hint="default"/>
        <w:lang w:val="zh-CN" w:eastAsia="zh-CN" w:bidi="zh-CN"/>
      </w:rPr>
    </w:lvl>
    <w:lvl w:ilvl="3" w:tentative="0">
      <w:start w:val="0"/>
      <w:numFmt w:val="bullet"/>
      <w:lvlText w:val="•"/>
      <w:lvlJc w:val="left"/>
      <w:pPr>
        <w:ind w:left="4831" w:hanging="623"/>
      </w:pPr>
      <w:rPr>
        <w:rFonts w:hint="default"/>
        <w:lang w:val="zh-CN" w:eastAsia="zh-CN" w:bidi="zh-CN"/>
      </w:rPr>
    </w:lvl>
    <w:lvl w:ilvl="4" w:tentative="0">
      <w:start w:val="0"/>
      <w:numFmt w:val="bullet"/>
      <w:lvlText w:val="•"/>
      <w:lvlJc w:val="left"/>
      <w:pPr>
        <w:ind w:left="5842" w:hanging="623"/>
      </w:pPr>
      <w:rPr>
        <w:rFonts w:hint="default"/>
        <w:lang w:val="zh-CN" w:eastAsia="zh-CN" w:bidi="zh-CN"/>
      </w:rPr>
    </w:lvl>
    <w:lvl w:ilvl="5" w:tentative="0">
      <w:start w:val="0"/>
      <w:numFmt w:val="bullet"/>
      <w:lvlText w:val="•"/>
      <w:lvlJc w:val="left"/>
      <w:pPr>
        <w:ind w:left="6853" w:hanging="623"/>
      </w:pPr>
      <w:rPr>
        <w:rFonts w:hint="default"/>
        <w:lang w:val="zh-CN" w:eastAsia="zh-CN" w:bidi="zh-CN"/>
      </w:rPr>
    </w:lvl>
    <w:lvl w:ilvl="6" w:tentative="0">
      <w:start w:val="0"/>
      <w:numFmt w:val="bullet"/>
      <w:lvlText w:val="•"/>
      <w:lvlJc w:val="left"/>
      <w:pPr>
        <w:ind w:left="7863" w:hanging="623"/>
      </w:pPr>
      <w:rPr>
        <w:rFonts w:hint="default"/>
        <w:lang w:val="zh-CN" w:eastAsia="zh-CN" w:bidi="zh-CN"/>
      </w:rPr>
    </w:lvl>
    <w:lvl w:ilvl="7" w:tentative="0">
      <w:start w:val="0"/>
      <w:numFmt w:val="bullet"/>
      <w:lvlText w:val="•"/>
      <w:lvlJc w:val="left"/>
      <w:pPr>
        <w:ind w:left="8874" w:hanging="623"/>
      </w:pPr>
      <w:rPr>
        <w:rFonts w:hint="default"/>
        <w:lang w:val="zh-CN" w:eastAsia="zh-CN" w:bidi="zh-CN"/>
      </w:rPr>
    </w:lvl>
    <w:lvl w:ilvl="8" w:tentative="0">
      <w:start w:val="0"/>
      <w:numFmt w:val="bullet"/>
      <w:lvlText w:val="•"/>
      <w:lvlJc w:val="left"/>
      <w:pPr>
        <w:ind w:left="9884" w:hanging="623"/>
      </w:pPr>
      <w:rPr>
        <w:rFonts w:hint="default"/>
        <w:lang w:val="zh-CN" w:eastAsia="zh-CN" w:bidi="zh-CN"/>
      </w:rPr>
    </w:lvl>
  </w:abstractNum>
  <w:abstractNum w:abstractNumId="11">
    <w:nsid w:val="9D5D7490"/>
    <w:multiLevelType w:val="multilevel"/>
    <w:tmpl w:val="9D5D7490"/>
    <w:lvl w:ilvl="0" w:tentative="0">
      <w:start w:val="1"/>
      <w:numFmt w:val="decimal"/>
      <w:lvlText w:val="%1."/>
      <w:lvlJc w:val="left"/>
      <w:pPr>
        <w:ind w:left="1800" w:hanging="204"/>
        <w:jc w:val="left"/>
      </w:pPr>
      <w:rPr>
        <w:rFonts w:hint="default" w:ascii="微软雅黑" w:hAnsi="微软雅黑" w:eastAsia="微软雅黑" w:cs="微软雅黑"/>
        <w:color w:val="333333"/>
        <w:w w:val="100"/>
        <w:sz w:val="22"/>
        <w:szCs w:val="22"/>
        <w:lang w:val="zh-CN" w:eastAsia="zh-CN" w:bidi="zh-CN"/>
      </w:rPr>
    </w:lvl>
    <w:lvl w:ilvl="1" w:tentative="0">
      <w:start w:val="0"/>
      <w:numFmt w:val="bullet"/>
      <w:lvlText w:val="•"/>
      <w:lvlJc w:val="left"/>
      <w:pPr>
        <w:ind w:left="2810" w:hanging="204"/>
      </w:pPr>
      <w:rPr>
        <w:rFonts w:hint="default"/>
        <w:lang w:val="zh-CN" w:eastAsia="zh-CN" w:bidi="zh-CN"/>
      </w:rPr>
    </w:lvl>
    <w:lvl w:ilvl="2" w:tentative="0">
      <w:start w:val="0"/>
      <w:numFmt w:val="bullet"/>
      <w:lvlText w:val="•"/>
      <w:lvlJc w:val="left"/>
      <w:pPr>
        <w:ind w:left="3821" w:hanging="204"/>
      </w:pPr>
      <w:rPr>
        <w:rFonts w:hint="default"/>
        <w:lang w:val="zh-CN" w:eastAsia="zh-CN" w:bidi="zh-CN"/>
      </w:rPr>
    </w:lvl>
    <w:lvl w:ilvl="3" w:tentative="0">
      <w:start w:val="0"/>
      <w:numFmt w:val="bullet"/>
      <w:lvlText w:val="•"/>
      <w:lvlJc w:val="left"/>
      <w:pPr>
        <w:ind w:left="4831" w:hanging="204"/>
      </w:pPr>
      <w:rPr>
        <w:rFonts w:hint="default"/>
        <w:lang w:val="zh-CN" w:eastAsia="zh-CN" w:bidi="zh-CN"/>
      </w:rPr>
    </w:lvl>
    <w:lvl w:ilvl="4" w:tentative="0">
      <w:start w:val="0"/>
      <w:numFmt w:val="bullet"/>
      <w:lvlText w:val="•"/>
      <w:lvlJc w:val="left"/>
      <w:pPr>
        <w:ind w:left="5842" w:hanging="204"/>
      </w:pPr>
      <w:rPr>
        <w:rFonts w:hint="default"/>
        <w:lang w:val="zh-CN" w:eastAsia="zh-CN" w:bidi="zh-CN"/>
      </w:rPr>
    </w:lvl>
    <w:lvl w:ilvl="5" w:tentative="0">
      <w:start w:val="0"/>
      <w:numFmt w:val="bullet"/>
      <w:lvlText w:val="•"/>
      <w:lvlJc w:val="left"/>
      <w:pPr>
        <w:ind w:left="6853" w:hanging="204"/>
      </w:pPr>
      <w:rPr>
        <w:rFonts w:hint="default"/>
        <w:lang w:val="zh-CN" w:eastAsia="zh-CN" w:bidi="zh-CN"/>
      </w:rPr>
    </w:lvl>
    <w:lvl w:ilvl="6" w:tentative="0">
      <w:start w:val="0"/>
      <w:numFmt w:val="bullet"/>
      <w:lvlText w:val="•"/>
      <w:lvlJc w:val="left"/>
      <w:pPr>
        <w:ind w:left="7863" w:hanging="204"/>
      </w:pPr>
      <w:rPr>
        <w:rFonts w:hint="default"/>
        <w:lang w:val="zh-CN" w:eastAsia="zh-CN" w:bidi="zh-CN"/>
      </w:rPr>
    </w:lvl>
    <w:lvl w:ilvl="7" w:tentative="0">
      <w:start w:val="0"/>
      <w:numFmt w:val="bullet"/>
      <w:lvlText w:val="•"/>
      <w:lvlJc w:val="left"/>
      <w:pPr>
        <w:ind w:left="8874" w:hanging="204"/>
      </w:pPr>
      <w:rPr>
        <w:rFonts w:hint="default"/>
        <w:lang w:val="zh-CN" w:eastAsia="zh-CN" w:bidi="zh-CN"/>
      </w:rPr>
    </w:lvl>
    <w:lvl w:ilvl="8" w:tentative="0">
      <w:start w:val="0"/>
      <w:numFmt w:val="bullet"/>
      <w:lvlText w:val="•"/>
      <w:lvlJc w:val="left"/>
      <w:pPr>
        <w:ind w:left="9884" w:hanging="204"/>
      </w:pPr>
      <w:rPr>
        <w:rFonts w:hint="default"/>
        <w:lang w:val="zh-CN" w:eastAsia="zh-CN" w:bidi="zh-CN"/>
      </w:rPr>
    </w:lvl>
  </w:abstractNum>
  <w:abstractNum w:abstractNumId="12">
    <w:nsid w:val="A0C93552"/>
    <w:multiLevelType w:val="multilevel"/>
    <w:tmpl w:val="A0C93552"/>
    <w:lvl w:ilvl="0" w:tentative="0">
      <w:start w:val="1"/>
      <w:numFmt w:val="decimal"/>
      <w:lvlText w:val="%1."/>
      <w:lvlJc w:val="left"/>
      <w:pPr>
        <w:ind w:left="2463"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3404" w:hanging="184"/>
      </w:pPr>
      <w:rPr>
        <w:rFonts w:hint="default"/>
        <w:lang w:val="zh-CN" w:eastAsia="zh-CN" w:bidi="zh-CN"/>
      </w:rPr>
    </w:lvl>
    <w:lvl w:ilvl="2" w:tentative="0">
      <w:start w:val="0"/>
      <w:numFmt w:val="bullet"/>
      <w:lvlText w:val="•"/>
      <w:lvlJc w:val="left"/>
      <w:pPr>
        <w:ind w:left="4349" w:hanging="184"/>
      </w:pPr>
      <w:rPr>
        <w:rFonts w:hint="default"/>
        <w:lang w:val="zh-CN" w:eastAsia="zh-CN" w:bidi="zh-CN"/>
      </w:rPr>
    </w:lvl>
    <w:lvl w:ilvl="3" w:tentative="0">
      <w:start w:val="0"/>
      <w:numFmt w:val="bullet"/>
      <w:lvlText w:val="•"/>
      <w:lvlJc w:val="left"/>
      <w:pPr>
        <w:ind w:left="5293" w:hanging="184"/>
      </w:pPr>
      <w:rPr>
        <w:rFonts w:hint="default"/>
        <w:lang w:val="zh-CN" w:eastAsia="zh-CN" w:bidi="zh-CN"/>
      </w:rPr>
    </w:lvl>
    <w:lvl w:ilvl="4" w:tentative="0">
      <w:start w:val="0"/>
      <w:numFmt w:val="bullet"/>
      <w:lvlText w:val="•"/>
      <w:lvlJc w:val="left"/>
      <w:pPr>
        <w:ind w:left="6238" w:hanging="184"/>
      </w:pPr>
      <w:rPr>
        <w:rFonts w:hint="default"/>
        <w:lang w:val="zh-CN" w:eastAsia="zh-CN" w:bidi="zh-CN"/>
      </w:rPr>
    </w:lvl>
    <w:lvl w:ilvl="5" w:tentative="0">
      <w:start w:val="0"/>
      <w:numFmt w:val="bullet"/>
      <w:lvlText w:val="•"/>
      <w:lvlJc w:val="left"/>
      <w:pPr>
        <w:ind w:left="7183" w:hanging="184"/>
      </w:pPr>
      <w:rPr>
        <w:rFonts w:hint="default"/>
        <w:lang w:val="zh-CN" w:eastAsia="zh-CN" w:bidi="zh-CN"/>
      </w:rPr>
    </w:lvl>
    <w:lvl w:ilvl="6" w:tentative="0">
      <w:start w:val="0"/>
      <w:numFmt w:val="bullet"/>
      <w:lvlText w:val="•"/>
      <w:lvlJc w:val="left"/>
      <w:pPr>
        <w:ind w:left="8127" w:hanging="184"/>
      </w:pPr>
      <w:rPr>
        <w:rFonts w:hint="default"/>
        <w:lang w:val="zh-CN" w:eastAsia="zh-CN" w:bidi="zh-CN"/>
      </w:rPr>
    </w:lvl>
    <w:lvl w:ilvl="7" w:tentative="0">
      <w:start w:val="0"/>
      <w:numFmt w:val="bullet"/>
      <w:lvlText w:val="•"/>
      <w:lvlJc w:val="left"/>
      <w:pPr>
        <w:ind w:left="9072" w:hanging="184"/>
      </w:pPr>
      <w:rPr>
        <w:rFonts w:hint="default"/>
        <w:lang w:val="zh-CN" w:eastAsia="zh-CN" w:bidi="zh-CN"/>
      </w:rPr>
    </w:lvl>
    <w:lvl w:ilvl="8" w:tentative="0">
      <w:start w:val="0"/>
      <w:numFmt w:val="bullet"/>
      <w:lvlText w:val="•"/>
      <w:lvlJc w:val="left"/>
      <w:pPr>
        <w:ind w:left="10016" w:hanging="184"/>
      </w:pPr>
      <w:rPr>
        <w:rFonts w:hint="default"/>
        <w:lang w:val="zh-CN" w:eastAsia="zh-CN" w:bidi="zh-CN"/>
      </w:rPr>
    </w:lvl>
  </w:abstractNum>
  <w:abstractNum w:abstractNumId="13">
    <w:nsid w:val="A0F05207"/>
    <w:multiLevelType w:val="multilevel"/>
    <w:tmpl w:val="A0F05207"/>
    <w:lvl w:ilvl="0" w:tentative="0">
      <w:start w:val="1"/>
      <w:numFmt w:val="decimal"/>
      <w:lvlText w:val="%1."/>
      <w:lvlJc w:val="left"/>
      <w:pPr>
        <w:ind w:left="1983"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2972" w:hanging="184"/>
      </w:pPr>
      <w:rPr>
        <w:rFonts w:hint="default"/>
        <w:lang w:val="zh-CN" w:eastAsia="zh-CN" w:bidi="zh-CN"/>
      </w:rPr>
    </w:lvl>
    <w:lvl w:ilvl="2" w:tentative="0">
      <w:start w:val="0"/>
      <w:numFmt w:val="bullet"/>
      <w:lvlText w:val="•"/>
      <w:lvlJc w:val="left"/>
      <w:pPr>
        <w:ind w:left="3965" w:hanging="184"/>
      </w:pPr>
      <w:rPr>
        <w:rFonts w:hint="default"/>
        <w:lang w:val="zh-CN" w:eastAsia="zh-CN" w:bidi="zh-CN"/>
      </w:rPr>
    </w:lvl>
    <w:lvl w:ilvl="3" w:tentative="0">
      <w:start w:val="0"/>
      <w:numFmt w:val="bullet"/>
      <w:lvlText w:val="•"/>
      <w:lvlJc w:val="left"/>
      <w:pPr>
        <w:ind w:left="4957" w:hanging="184"/>
      </w:pPr>
      <w:rPr>
        <w:rFonts w:hint="default"/>
        <w:lang w:val="zh-CN" w:eastAsia="zh-CN" w:bidi="zh-CN"/>
      </w:rPr>
    </w:lvl>
    <w:lvl w:ilvl="4" w:tentative="0">
      <w:start w:val="0"/>
      <w:numFmt w:val="bullet"/>
      <w:lvlText w:val="•"/>
      <w:lvlJc w:val="left"/>
      <w:pPr>
        <w:ind w:left="5950" w:hanging="184"/>
      </w:pPr>
      <w:rPr>
        <w:rFonts w:hint="default"/>
        <w:lang w:val="zh-CN" w:eastAsia="zh-CN" w:bidi="zh-CN"/>
      </w:rPr>
    </w:lvl>
    <w:lvl w:ilvl="5" w:tentative="0">
      <w:start w:val="0"/>
      <w:numFmt w:val="bullet"/>
      <w:lvlText w:val="•"/>
      <w:lvlJc w:val="left"/>
      <w:pPr>
        <w:ind w:left="6943" w:hanging="184"/>
      </w:pPr>
      <w:rPr>
        <w:rFonts w:hint="default"/>
        <w:lang w:val="zh-CN" w:eastAsia="zh-CN" w:bidi="zh-CN"/>
      </w:rPr>
    </w:lvl>
    <w:lvl w:ilvl="6" w:tentative="0">
      <w:start w:val="0"/>
      <w:numFmt w:val="bullet"/>
      <w:lvlText w:val="•"/>
      <w:lvlJc w:val="left"/>
      <w:pPr>
        <w:ind w:left="7935" w:hanging="184"/>
      </w:pPr>
      <w:rPr>
        <w:rFonts w:hint="default"/>
        <w:lang w:val="zh-CN" w:eastAsia="zh-CN" w:bidi="zh-CN"/>
      </w:rPr>
    </w:lvl>
    <w:lvl w:ilvl="7" w:tentative="0">
      <w:start w:val="0"/>
      <w:numFmt w:val="bullet"/>
      <w:lvlText w:val="•"/>
      <w:lvlJc w:val="left"/>
      <w:pPr>
        <w:ind w:left="8928" w:hanging="184"/>
      </w:pPr>
      <w:rPr>
        <w:rFonts w:hint="default"/>
        <w:lang w:val="zh-CN" w:eastAsia="zh-CN" w:bidi="zh-CN"/>
      </w:rPr>
    </w:lvl>
    <w:lvl w:ilvl="8" w:tentative="0">
      <w:start w:val="0"/>
      <w:numFmt w:val="bullet"/>
      <w:lvlText w:val="•"/>
      <w:lvlJc w:val="left"/>
      <w:pPr>
        <w:ind w:left="9920" w:hanging="184"/>
      </w:pPr>
      <w:rPr>
        <w:rFonts w:hint="default"/>
        <w:lang w:val="zh-CN" w:eastAsia="zh-CN" w:bidi="zh-CN"/>
      </w:rPr>
    </w:lvl>
  </w:abstractNum>
  <w:abstractNum w:abstractNumId="14">
    <w:nsid w:val="AAF3F3FA"/>
    <w:multiLevelType w:val="multilevel"/>
    <w:tmpl w:val="AAF3F3FA"/>
    <w:lvl w:ilvl="0" w:tentative="0">
      <w:start w:val="1"/>
      <w:numFmt w:val="decimal"/>
      <w:lvlText w:val="%1."/>
      <w:lvlJc w:val="left"/>
      <w:pPr>
        <w:ind w:left="1800"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2810" w:hanging="184"/>
      </w:pPr>
      <w:rPr>
        <w:rFonts w:hint="default"/>
        <w:lang w:val="zh-CN" w:eastAsia="zh-CN" w:bidi="zh-CN"/>
      </w:rPr>
    </w:lvl>
    <w:lvl w:ilvl="2" w:tentative="0">
      <w:start w:val="0"/>
      <w:numFmt w:val="bullet"/>
      <w:lvlText w:val="•"/>
      <w:lvlJc w:val="left"/>
      <w:pPr>
        <w:ind w:left="3821" w:hanging="184"/>
      </w:pPr>
      <w:rPr>
        <w:rFonts w:hint="default"/>
        <w:lang w:val="zh-CN" w:eastAsia="zh-CN" w:bidi="zh-CN"/>
      </w:rPr>
    </w:lvl>
    <w:lvl w:ilvl="3" w:tentative="0">
      <w:start w:val="0"/>
      <w:numFmt w:val="bullet"/>
      <w:lvlText w:val="•"/>
      <w:lvlJc w:val="left"/>
      <w:pPr>
        <w:ind w:left="4831" w:hanging="184"/>
      </w:pPr>
      <w:rPr>
        <w:rFonts w:hint="default"/>
        <w:lang w:val="zh-CN" w:eastAsia="zh-CN" w:bidi="zh-CN"/>
      </w:rPr>
    </w:lvl>
    <w:lvl w:ilvl="4" w:tentative="0">
      <w:start w:val="0"/>
      <w:numFmt w:val="bullet"/>
      <w:lvlText w:val="•"/>
      <w:lvlJc w:val="left"/>
      <w:pPr>
        <w:ind w:left="5842" w:hanging="184"/>
      </w:pPr>
      <w:rPr>
        <w:rFonts w:hint="default"/>
        <w:lang w:val="zh-CN" w:eastAsia="zh-CN" w:bidi="zh-CN"/>
      </w:rPr>
    </w:lvl>
    <w:lvl w:ilvl="5" w:tentative="0">
      <w:start w:val="0"/>
      <w:numFmt w:val="bullet"/>
      <w:lvlText w:val="•"/>
      <w:lvlJc w:val="left"/>
      <w:pPr>
        <w:ind w:left="6853" w:hanging="184"/>
      </w:pPr>
      <w:rPr>
        <w:rFonts w:hint="default"/>
        <w:lang w:val="zh-CN" w:eastAsia="zh-CN" w:bidi="zh-CN"/>
      </w:rPr>
    </w:lvl>
    <w:lvl w:ilvl="6" w:tentative="0">
      <w:start w:val="0"/>
      <w:numFmt w:val="bullet"/>
      <w:lvlText w:val="•"/>
      <w:lvlJc w:val="left"/>
      <w:pPr>
        <w:ind w:left="7863" w:hanging="184"/>
      </w:pPr>
      <w:rPr>
        <w:rFonts w:hint="default"/>
        <w:lang w:val="zh-CN" w:eastAsia="zh-CN" w:bidi="zh-CN"/>
      </w:rPr>
    </w:lvl>
    <w:lvl w:ilvl="7" w:tentative="0">
      <w:start w:val="0"/>
      <w:numFmt w:val="bullet"/>
      <w:lvlText w:val="•"/>
      <w:lvlJc w:val="left"/>
      <w:pPr>
        <w:ind w:left="8874" w:hanging="184"/>
      </w:pPr>
      <w:rPr>
        <w:rFonts w:hint="default"/>
        <w:lang w:val="zh-CN" w:eastAsia="zh-CN" w:bidi="zh-CN"/>
      </w:rPr>
    </w:lvl>
    <w:lvl w:ilvl="8" w:tentative="0">
      <w:start w:val="0"/>
      <w:numFmt w:val="bullet"/>
      <w:lvlText w:val="•"/>
      <w:lvlJc w:val="left"/>
      <w:pPr>
        <w:ind w:left="9884" w:hanging="184"/>
      </w:pPr>
      <w:rPr>
        <w:rFonts w:hint="default"/>
        <w:lang w:val="zh-CN" w:eastAsia="zh-CN" w:bidi="zh-CN"/>
      </w:rPr>
    </w:lvl>
  </w:abstractNum>
  <w:abstractNum w:abstractNumId="15">
    <w:nsid w:val="B0ED9BEA"/>
    <w:multiLevelType w:val="multilevel"/>
    <w:tmpl w:val="B0ED9BEA"/>
    <w:lvl w:ilvl="0" w:tentative="0">
      <w:start w:val="5"/>
      <w:numFmt w:val="decimal"/>
      <w:lvlText w:val="%1."/>
      <w:lvlJc w:val="left"/>
      <w:pPr>
        <w:ind w:left="1800" w:hanging="204"/>
        <w:jc w:val="left"/>
      </w:pPr>
      <w:rPr>
        <w:rFonts w:hint="default" w:ascii="微软雅黑" w:hAnsi="微软雅黑" w:eastAsia="微软雅黑" w:cs="微软雅黑"/>
        <w:color w:val="333333"/>
        <w:w w:val="100"/>
        <w:sz w:val="22"/>
        <w:szCs w:val="22"/>
        <w:lang w:val="zh-CN" w:eastAsia="zh-CN" w:bidi="zh-CN"/>
      </w:rPr>
    </w:lvl>
    <w:lvl w:ilvl="1" w:tentative="0">
      <w:start w:val="0"/>
      <w:numFmt w:val="bullet"/>
      <w:lvlText w:val="•"/>
      <w:lvlJc w:val="left"/>
      <w:pPr>
        <w:ind w:left="2810" w:hanging="204"/>
      </w:pPr>
      <w:rPr>
        <w:rFonts w:hint="default"/>
        <w:lang w:val="zh-CN" w:eastAsia="zh-CN" w:bidi="zh-CN"/>
      </w:rPr>
    </w:lvl>
    <w:lvl w:ilvl="2" w:tentative="0">
      <w:start w:val="0"/>
      <w:numFmt w:val="bullet"/>
      <w:lvlText w:val="•"/>
      <w:lvlJc w:val="left"/>
      <w:pPr>
        <w:ind w:left="3821" w:hanging="204"/>
      </w:pPr>
      <w:rPr>
        <w:rFonts w:hint="default"/>
        <w:lang w:val="zh-CN" w:eastAsia="zh-CN" w:bidi="zh-CN"/>
      </w:rPr>
    </w:lvl>
    <w:lvl w:ilvl="3" w:tentative="0">
      <w:start w:val="0"/>
      <w:numFmt w:val="bullet"/>
      <w:lvlText w:val="•"/>
      <w:lvlJc w:val="left"/>
      <w:pPr>
        <w:ind w:left="4831" w:hanging="204"/>
      </w:pPr>
      <w:rPr>
        <w:rFonts w:hint="default"/>
        <w:lang w:val="zh-CN" w:eastAsia="zh-CN" w:bidi="zh-CN"/>
      </w:rPr>
    </w:lvl>
    <w:lvl w:ilvl="4" w:tentative="0">
      <w:start w:val="0"/>
      <w:numFmt w:val="bullet"/>
      <w:lvlText w:val="•"/>
      <w:lvlJc w:val="left"/>
      <w:pPr>
        <w:ind w:left="5842" w:hanging="204"/>
      </w:pPr>
      <w:rPr>
        <w:rFonts w:hint="default"/>
        <w:lang w:val="zh-CN" w:eastAsia="zh-CN" w:bidi="zh-CN"/>
      </w:rPr>
    </w:lvl>
    <w:lvl w:ilvl="5" w:tentative="0">
      <w:start w:val="0"/>
      <w:numFmt w:val="bullet"/>
      <w:lvlText w:val="•"/>
      <w:lvlJc w:val="left"/>
      <w:pPr>
        <w:ind w:left="6853" w:hanging="204"/>
      </w:pPr>
      <w:rPr>
        <w:rFonts w:hint="default"/>
        <w:lang w:val="zh-CN" w:eastAsia="zh-CN" w:bidi="zh-CN"/>
      </w:rPr>
    </w:lvl>
    <w:lvl w:ilvl="6" w:tentative="0">
      <w:start w:val="0"/>
      <w:numFmt w:val="bullet"/>
      <w:lvlText w:val="•"/>
      <w:lvlJc w:val="left"/>
      <w:pPr>
        <w:ind w:left="7863" w:hanging="204"/>
      </w:pPr>
      <w:rPr>
        <w:rFonts w:hint="default"/>
        <w:lang w:val="zh-CN" w:eastAsia="zh-CN" w:bidi="zh-CN"/>
      </w:rPr>
    </w:lvl>
    <w:lvl w:ilvl="7" w:tentative="0">
      <w:start w:val="0"/>
      <w:numFmt w:val="bullet"/>
      <w:lvlText w:val="•"/>
      <w:lvlJc w:val="left"/>
      <w:pPr>
        <w:ind w:left="8874" w:hanging="204"/>
      </w:pPr>
      <w:rPr>
        <w:rFonts w:hint="default"/>
        <w:lang w:val="zh-CN" w:eastAsia="zh-CN" w:bidi="zh-CN"/>
      </w:rPr>
    </w:lvl>
    <w:lvl w:ilvl="8" w:tentative="0">
      <w:start w:val="0"/>
      <w:numFmt w:val="bullet"/>
      <w:lvlText w:val="•"/>
      <w:lvlJc w:val="left"/>
      <w:pPr>
        <w:ind w:left="9884" w:hanging="204"/>
      </w:pPr>
      <w:rPr>
        <w:rFonts w:hint="default"/>
        <w:lang w:val="zh-CN" w:eastAsia="zh-CN" w:bidi="zh-CN"/>
      </w:rPr>
    </w:lvl>
  </w:abstractNum>
  <w:abstractNum w:abstractNumId="16">
    <w:nsid w:val="B0F1ACD9"/>
    <w:multiLevelType w:val="multilevel"/>
    <w:tmpl w:val="B0F1ACD9"/>
    <w:lvl w:ilvl="0" w:tentative="0">
      <w:start w:val="1"/>
      <w:numFmt w:val="decimal"/>
      <w:lvlText w:val="%1."/>
      <w:lvlJc w:val="left"/>
      <w:pPr>
        <w:ind w:left="2480" w:hanging="201"/>
        <w:jc w:val="left"/>
      </w:pPr>
      <w:rPr>
        <w:rFonts w:hint="default" w:ascii="微软雅黑" w:hAnsi="微软雅黑" w:eastAsia="微软雅黑" w:cs="微软雅黑"/>
        <w:color w:val="333333"/>
        <w:spacing w:val="-3"/>
        <w:w w:val="100"/>
        <w:sz w:val="22"/>
        <w:szCs w:val="22"/>
        <w:lang w:val="zh-CN" w:eastAsia="zh-CN" w:bidi="zh-CN"/>
      </w:rPr>
    </w:lvl>
    <w:lvl w:ilvl="1" w:tentative="0">
      <w:start w:val="0"/>
      <w:numFmt w:val="bullet"/>
      <w:lvlText w:val="•"/>
      <w:lvlJc w:val="left"/>
      <w:pPr>
        <w:ind w:left="3422" w:hanging="201"/>
      </w:pPr>
      <w:rPr>
        <w:rFonts w:hint="default"/>
        <w:lang w:val="zh-CN" w:eastAsia="zh-CN" w:bidi="zh-CN"/>
      </w:rPr>
    </w:lvl>
    <w:lvl w:ilvl="2" w:tentative="0">
      <w:start w:val="0"/>
      <w:numFmt w:val="bullet"/>
      <w:lvlText w:val="•"/>
      <w:lvlJc w:val="left"/>
      <w:pPr>
        <w:ind w:left="4365" w:hanging="201"/>
      </w:pPr>
      <w:rPr>
        <w:rFonts w:hint="default"/>
        <w:lang w:val="zh-CN" w:eastAsia="zh-CN" w:bidi="zh-CN"/>
      </w:rPr>
    </w:lvl>
    <w:lvl w:ilvl="3" w:tentative="0">
      <w:start w:val="0"/>
      <w:numFmt w:val="bullet"/>
      <w:lvlText w:val="•"/>
      <w:lvlJc w:val="left"/>
      <w:pPr>
        <w:ind w:left="5307" w:hanging="201"/>
      </w:pPr>
      <w:rPr>
        <w:rFonts w:hint="default"/>
        <w:lang w:val="zh-CN" w:eastAsia="zh-CN" w:bidi="zh-CN"/>
      </w:rPr>
    </w:lvl>
    <w:lvl w:ilvl="4" w:tentative="0">
      <w:start w:val="0"/>
      <w:numFmt w:val="bullet"/>
      <w:lvlText w:val="•"/>
      <w:lvlJc w:val="left"/>
      <w:pPr>
        <w:ind w:left="6250" w:hanging="201"/>
      </w:pPr>
      <w:rPr>
        <w:rFonts w:hint="default"/>
        <w:lang w:val="zh-CN" w:eastAsia="zh-CN" w:bidi="zh-CN"/>
      </w:rPr>
    </w:lvl>
    <w:lvl w:ilvl="5" w:tentative="0">
      <w:start w:val="0"/>
      <w:numFmt w:val="bullet"/>
      <w:lvlText w:val="•"/>
      <w:lvlJc w:val="left"/>
      <w:pPr>
        <w:ind w:left="7193" w:hanging="201"/>
      </w:pPr>
      <w:rPr>
        <w:rFonts w:hint="default"/>
        <w:lang w:val="zh-CN" w:eastAsia="zh-CN" w:bidi="zh-CN"/>
      </w:rPr>
    </w:lvl>
    <w:lvl w:ilvl="6" w:tentative="0">
      <w:start w:val="0"/>
      <w:numFmt w:val="bullet"/>
      <w:lvlText w:val="•"/>
      <w:lvlJc w:val="left"/>
      <w:pPr>
        <w:ind w:left="8135" w:hanging="201"/>
      </w:pPr>
      <w:rPr>
        <w:rFonts w:hint="default"/>
        <w:lang w:val="zh-CN" w:eastAsia="zh-CN" w:bidi="zh-CN"/>
      </w:rPr>
    </w:lvl>
    <w:lvl w:ilvl="7" w:tentative="0">
      <w:start w:val="0"/>
      <w:numFmt w:val="bullet"/>
      <w:lvlText w:val="•"/>
      <w:lvlJc w:val="left"/>
      <w:pPr>
        <w:ind w:left="9078" w:hanging="201"/>
      </w:pPr>
      <w:rPr>
        <w:rFonts w:hint="default"/>
        <w:lang w:val="zh-CN" w:eastAsia="zh-CN" w:bidi="zh-CN"/>
      </w:rPr>
    </w:lvl>
    <w:lvl w:ilvl="8" w:tentative="0">
      <w:start w:val="0"/>
      <w:numFmt w:val="bullet"/>
      <w:lvlText w:val="•"/>
      <w:lvlJc w:val="left"/>
      <w:pPr>
        <w:ind w:left="10020" w:hanging="201"/>
      </w:pPr>
      <w:rPr>
        <w:rFonts w:hint="default"/>
        <w:lang w:val="zh-CN" w:eastAsia="zh-CN" w:bidi="zh-CN"/>
      </w:rPr>
    </w:lvl>
  </w:abstractNum>
  <w:abstractNum w:abstractNumId="17">
    <w:nsid w:val="B23A94A9"/>
    <w:multiLevelType w:val="multilevel"/>
    <w:tmpl w:val="B23A94A9"/>
    <w:lvl w:ilvl="0" w:tentative="0">
      <w:start w:val="4"/>
      <w:numFmt w:val="decimal"/>
      <w:lvlText w:val="%1."/>
      <w:lvlJc w:val="left"/>
      <w:pPr>
        <w:ind w:left="1800"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2810" w:hanging="184"/>
      </w:pPr>
      <w:rPr>
        <w:rFonts w:hint="default"/>
        <w:lang w:val="zh-CN" w:eastAsia="zh-CN" w:bidi="zh-CN"/>
      </w:rPr>
    </w:lvl>
    <w:lvl w:ilvl="2" w:tentative="0">
      <w:start w:val="0"/>
      <w:numFmt w:val="bullet"/>
      <w:lvlText w:val="•"/>
      <w:lvlJc w:val="left"/>
      <w:pPr>
        <w:ind w:left="3821" w:hanging="184"/>
      </w:pPr>
      <w:rPr>
        <w:rFonts w:hint="default"/>
        <w:lang w:val="zh-CN" w:eastAsia="zh-CN" w:bidi="zh-CN"/>
      </w:rPr>
    </w:lvl>
    <w:lvl w:ilvl="3" w:tentative="0">
      <w:start w:val="0"/>
      <w:numFmt w:val="bullet"/>
      <w:lvlText w:val="•"/>
      <w:lvlJc w:val="left"/>
      <w:pPr>
        <w:ind w:left="4831" w:hanging="184"/>
      </w:pPr>
      <w:rPr>
        <w:rFonts w:hint="default"/>
        <w:lang w:val="zh-CN" w:eastAsia="zh-CN" w:bidi="zh-CN"/>
      </w:rPr>
    </w:lvl>
    <w:lvl w:ilvl="4" w:tentative="0">
      <w:start w:val="0"/>
      <w:numFmt w:val="bullet"/>
      <w:lvlText w:val="•"/>
      <w:lvlJc w:val="left"/>
      <w:pPr>
        <w:ind w:left="5842" w:hanging="184"/>
      </w:pPr>
      <w:rPr>
        <w:rFonts w:hint="default"/>
        <w:lang w:val="zh-CN" w:eastAsia="zh-CN" w:bidi="zh-CN"/>
      </w:rPr>
    </w:lvl>
    <w:lvl w:ilvl="5" w:tentative="0">
      <w:start w:val="0"/>
      <w:numFmt w:val="bullet"/>
      <w:lvlText w:val="•"/>
      <w:lvlJc w:val="left"/>
      <w:pPr>
        <w:ind w:left="6853" w:hanging="184"/>
      </w:pPr>
      <w:rPr>
        <w:rFonts w:hint="default"/>
        <w:lang w:val="zh-CN" w:eastAsia="zh-CN" w:bidi="zh-CN"/>
      </w:rPr>
    </w:lvl>
    <w:lvl w:ilvl="6" w:tentative="0">
      <w:start w:val="0"/>
      <w:numFmt w:val="bullet"/>
      <w:lvlText w:val="•"/>
      <w:lvlJc w:val="left"/>
      <w:pPr>
        <w:ind w:left="7863" w:hanging="184"/>
      </w:pPr>
      <w:rPr>
        <w:rFonts w:hint="default"/>
        <w:lang w:val="zh-CN" w:eastAsia="zh-CN" w:bidi="zh-CN"/>
      </w:rPr>
    </w:lvl>
    <w:lvl w:ilvl="7" w:tentative="0">
      <w:start w:val="0"/>
      <w:numFmt w:val="bullet"/>
      <w:lvlText w:val="•"/>
      <w:lvlJc w:val="left"/>
      <w:pPr>
        <w:ind w:left="8874" w:hanging="184"/>
      </w:pPr>
      <w:rPr>
        <w:rFonts w:hint="default"/>
        <w:lang w:val="zh-CN" w:eastAsia="zh-CN" w:bidi="zh-CN"/>
      </w:rPr>
    </w:lvl>
    <w:lvl w:ilvl="8" w:tentative="0">
      <w:start w:val="0"/>
      <w:numFmt w:val="bullet"/>
      <w:lvlText w:val="•"/>
      <w:lvlJc w:val="left"/>
      <w:pPr>
        <w:ind w:left="9884" w:hanging="184"/>
      </w:pPr>
      <w:rPr>
        <w:rFonts w:hint="default"/>
        <w:lang w:val="zh-CN" w:eastAsia="zh-CN" w:bidi="zh-CN"/>
      </w:rPr>
    </w:lvl>
  </w:abstractNum>
  <w:abstractNum w:abstractNumId="18">
    <w:nsid w:val="B53F3350"/>
    <w:multiLevelType w:val="multilevel"/>
    <w:tmpl w:val="B53F3350"/>
    <w:lvl w:ilvl="0" w:tentative="0">
      <w:start w:val="1"/>
      <w:numFmt w:val="decimal"/>
      <w:lvlText w:val="（%1）"/>
      <w:lvlJc w:val="left"/>
      <w:pPr>
        <w:ind w:left="1800" w:hanging="604"/>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810" w:hanging="604"/>
      </w:pPr>
      <w:rPr>
        <w:rFonts w:hint="default"/>
        <w:lang w:val="zh-CN" w:eastAsia="zh-CN" w:bidi="zh-CN"/>
      </w:rPr>
    </w:lvl>
    <w:lvl w:ilvl="2" w:tentative="0">
      <w:start w:val="0"/>
      <w:numFmt w:val="bullet"/>
      <w:lvlText w:val="•"/>
      <w:lvlJc w:val="left"/>
      <w:pPr>
        <w:ind w:left="3821" w:hanging="604"/>
      </w:pPr>
      <w:rPr>
        <w:rFonts w:hint="default"/>
        <w:lang w:val="zh-CN" w:eastAsia="zh-CN" w:bidi="zh-CN"/>
      </w:rPr>
    </w:lvl>
    <w:lvl w:ilvl="3" w:tentative="0">
      <w:start w:val="0"/>
      <w:numFmt w:val="bullet"/>
      <w:lvlText w:val="•"/>
      <w:lvlJc w:val="left"/>
      <w:pPr>
        <w:ind w:left="4831" w:hanging="604"/>
      </w:pPr>
      <w:rPr>
        <w:rFonts w:hint="default"/>
        <w:lang w:val="zh-CN" w:eastAsia="zh-CN" w:bidi="zh-CN"/>
      </w:rPr>
    </w:lvl>
    <w:lvl w:ilvl="4" w:tentative="0">
      <w:start w:val="0"/>
      <w:numFmt w:val="bullet"/>
      <w:lvlText w:val="•"/>
      <w:lvlJc w:val="left"/>
      <w:pPr>
        <w:ind w:left="5842" w:hanging="604"/>
      </w:pPr>
      <w:rPr>
        <w:rFonts w:hint="default"/>
        <w:lang w:val="zh-CN" w:eastAsia="zh-CN" w:bidi="zh-CN"/>
      </w:rPr>
    </w:lvl>
    <w:lvl w:ilvl="5" w:tentative="0">
      <w:start w:val="0"/>
      <w:numFmt w:val="bullet"/>
      <w:lvlText w:val="•"/>
      <w:lvlJc w:val="left"/>
      <w:pPr>
        <w:ind w:left="6853" w:hanging="604"/>
      </w:pPr>
      <w:rPr>
        <w:rFonts w:hint="default"/>
        <w:lang w:val="zh-CN" w:eastAsia="zh-CN" w:bidi="zh-CN"/>
      </w:rPr>
    </w:lvl>
    <w:lvl w:ilvl="6" w:tentative="0">
      <w:start w:val="0"/>
      <w:numFmt w:val="bullet"/>
      <w:lvlText w:val="•"/>
      <w:lvlJc w:val="left"/>
      <w:pPr>
        <w:ind w:left="7863" w:hanging="604"/>
      </w:pPr>
      <w:rPr>
        <w:rFonts w:hint="default"/>
        <w:lang w:val="zh-CN" w:eastAsia="zh-CN" w:bidi="zh-CN"/>
      </w:rPr>
    </w:lvl>
    <w:lvl w:ilvl="7" w:tentative="0">
      <w:start w:val="0"/>
      <w:numFmt w:val="bullet"/>
      <w:lvlText w:val="•"/>
      <w:lvlJc w:val="left"/>
      <w:pPr>
        <w:ind w:left="8874" w:hanging="604"/>
      </w:pPr>
      <w:rPr>
        <w:rFonts w:hint="default"/>
        <w:lang w:val="zh-CN" w:eastAsia="zh-CN" w:bidi="zh-CN"/>
      </w:rPr>
    </w:lvl>
    <w:lvl w:ilvl="8" w:tentative="0">
      <w:start w:val="0"/>
      <w:numFmt w:val="bullet"/>
      <w:lvlText w:val="•"/>
      <w:lvlJc w:val="left"/>
      <w:pPr>
        <w:ind w:left="9884" w:hanging="604"/>
      </w:pPr>
      <w:rPr>
        <w:rFonts w:hint="default"/>
        <w:lang w:val="zh-CN" w:eastAsia="zh-CN" w:bidi="zh-CN"/>
      </w:rPr>
    </w:lvl>
  </w:abstractNum>
  <w:abstractNum w:abstractNumId="19">
    <w:nsid w:val="B5E306ED"/>
    <w:multiLevelType w:val="multilevel"/>
    <w:tmpl w:val="B5E306ED"/>
    <w:lvl w:ilvl="0" w:tentative="0">
      <w:start w:val="1"/>
      <w:numFmt w:val="decimal"/>
      <w:lvlText w:val="%1."/>
      <w:lvlJc w:val="left"/>
      <w:pPr>
        <w:ind w:left="1800" w:hanging="360"/>
        <w:jc w:val="left"/>
      </w:pPr>
      <w:rPr>
        <w:rFonts w:hint="default" w:ascii="微软雅黑" w:hAnsi="微软雅黑" w:eastAsia="微软雅黑" w:cs="微软雅黑"/>
        <w:color w:val="333333"/>
        <w:spacing w:val="-113"/>
        <w:w w:val="100"/>
        <w:sz w:val="24"/>
        <w:szCs w:val="24"/>
        <w:lang w:val="zh-CN" w:eastAsia="zh-CN" w:bidi="zh-CN"/>
      </w:rPr>
    </w:lvl>
    <w:lvl w:ilvl="1" w:tentative="0">
      <w:start w:val="0"/>
      <w:numFmt w:val="bullet"/>
      <w:lvlText w:val="•"/>
      <w:lvlJc w:val="left"/>
      <w:pPr>
        <w:ind w:left="2810" w:hanging="360"/>
      </w:pPr>
      <w:rPr>
        <w:rFonts w:hint="default"/>
        <w:lang w:val="zh-CN" w:eastAsia="zh-CN" w:bidi="zh-CN"/>
      </w:rPr>
    </w:lvl>
    <w:lvl w:ilvl="2" w:tentative="0">
      <w:start w:val="0"/>
      <w:numFmt w:val="bullet"/>
      <w:lvlText w:val="•"/>
      <w:lvlJc w:val="left"/>
      <w:pPr>
        <w:ind w:left="3821" w:hanging="360"/>
      </w:pPr>
      <w:rPr>
        <w:rFonts w:hint="default"/>
        <w:lang w:val="zh-CN" w:eastAsia="zh-CN" w:bidi="zh-CN"/>
      </w:rPr>
    </w:lvl>
    <w:lvl w:ilvl="3" w:tentative="0">
      <w:start w:val="0"/>
      <w:numFmt w:val="bullet"/>
      <w:lvlText w:val="•"/>
      <w:lvlJc w:val="left"/>
      <w:pPr>
        <w:ind w:left="4831" w:hanging="360"/>
      </w:pPr>
      <w:rPr>
        <w:rFonts w:hint="default"/>
        <w:lang w:val="zh-CN" w:eastAsia="zh-CN" w:bidi="zh-CN"/>
      </w:rPr>
    </w:lvl>
    <w:lvl w:ilvl="4" w:tentative="0">
      <w:start w:val="0"/>
      <w:numFmt w:val="bullet"/>
      <w:lvlText w:val="•"/>
      <w:lvlJc w:val="left"/>
      <w:pPr>
        <w:ind w:left="5842" w:hanging="360"/>
      </w:pPr>
      <w:rPr>
        <w:rFonts w:hint="default"/>
        <w:lang w:val="zh-CN" w:eastAsia="zh-CN" w:bidi="zh-CN"/>
      </w:rPr>
    </w:lvl>
    <w:lvl w:ilvl="5" w:tentative="0">
      <w:start w:val="0"/>
      <w:numFmt w:val="bullet"/>
      <w:lvlText w:val="•"/>
      <w:lvlJc w:val="left"/>
      <w:pPr>
        <w:ind w:left="6853" w:hanging="360"/>
      </w:pPr>
      <w:rPr>
        <w:rFonts w:hint="default"/>
        <w:lang w:val="zh-CN" w:eastAsia="zh-CN" w:bidi="zh-CN"/>
      </w:rPr>
    </w:lvl>
    <w:lvl w:ilvl="6" w:tentative="0">
      <w:start w:val="0"/>
      <w:numFmt w:val="bullet"/>
      <w:lvlText w:val="•"/>
      <w:lvlJc w:val="left"/>
      <w:pPr>
        <w:ind w:left="7863" w:hanging="360"/>
      </w:pPr>
      <w:rPr>
        <w:rFonts w:hint="default"/>
        <w:lang w:val="zh-CN" w:eastAsia="zh-CN" w:bidi="zh-CN"/>
      </w:rPr>
    </w:lvl>
    <w:lvl w:ilvl="7" w:tentative="0">
      <w:start w:val="0"/>
      <w:numFmt w:val="bullet"/>
      <w:lvlText w:val="•"/>
      <w:lvlJc w:val="left"/>
      <w:pPr>
        <w:ind w:left="8874" w:hanging="360"/>
      </w:pPr>
      <w:rPr>
        <w:rFonts w:hint="default"/>
        <w:lang w:val="zh-CN" w:eastAsia="zh-CN" w:bidi="zh-CN"/>
      </w:rPr>
    </w:lvl>
    <w:lvl w:ilvl="8" w:tentative="0">
      <w:start w:val="0"/>
      <w:numFmt w:val="bullet"/>
      <w:lvlText w:val="•"/>
      <w:lvlJc w:val="left"/>
      <w:pPr>
        <w:ind w:left="9884" w:hanging="360"/>
      </w:pPr>
      <w:rPr>
        <w:rFonts w:hint="default"/>
        <w:lang w:val="zh-CN" w:eastAsia="zh-CN" w:bidi="zh-CN"/>
      </w:rPr>
    </w:lvl>
  </w:abstractNum>
  <w:abstractNum w:abstractNumId="20">
    <w:nsid w:val="B88D21A8"/>
    <w:multiLevelType w:val="multilevel"/>
    <w:tmpl w:val="B88D21A8"/>
    <w:lvl w:ilvl="0" w:tentative="0">
      <w:start w:val="1"/>
      <w:numFmt w:val="decimal"/>
      <w:lvlText w:val="%1."/>
      <w:lvlJc w:val="left"/>
      <w:pPr>
        <w:ind w:left="1800"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2810" w:hanging="184"/>
      </w:pPr>
      <w:rPr>
        <w:rFonts w:hint="default"/>
        <w:lang w:val="zh-CN" w:eastAsia="zh-CN" w:bidi="zh-CN"/>
      </w:rPr>
    </w:lvl>
    <w:lvl w:ilvl="2" w:tentative="0">
      <w:start w:val="0"/>
      <w:numFmt w:val="bullet"/>
      <w:lvlText w:val="•"/>
      <w:lvlJc w:val="left"/>
      <w:pPr>
        <w:ind w:left="3821" w:hanging="184"/>
      </w:pPr>
      <w:rPr>
        <w:rFonts w:hint="default"/>
        <w:lang w:val="zh-CN" w:eastAsia="zh-CN" w:bidi="zh-CN"/>
      </w:rPr>
    </w:lvl>
    <w:lvl w:ilvl="3" w:tentative="0">
      <w:start w:val="0"/>
      <w:numFmt w:val="bullet"/>
      <w:lvlText w:val="•"/>
      <w:lvlJc w:val="left"/>
      <w:pPr>
        <w:ind w:left="4831" w:hanging="184"/>
      </w:pPr>
      <w:rPr>
        <w:rFonts w:hint="default"/>
        <w:lang w:val="zh-CN" w:eastAsia="zh-CN" w:bidi="zh-CN"/>
      </w:rPr>
    </w:lvl>
    <w:lvl w:ilvl="4" w:tentative="0">
      <w:start w:val="0"/>
      <w:numFmt w:val="bullet"/>
      <w:lvlText w:val="•"/>
      <w:lvlJc w:val="left"/>
      <w:pPr>
        <w:ind w:left="5842" w:hanging="184"/>
      </w:pPr>
      <w:rPr>
        <w:rFonts w:hint="default"/>
        <w:lang w:val="zh-CN" w:eastAsia="zh-CN" w:bidi="zh-CN"/>
      </w:rPr>
    </w:lvl>
    <w:lvl w:ilvl="5" w:tentative="0">
      <w:start w:val="0"/>
      <w:numFmt w:val="bullet"/>
      <w:lvlText w:val="•"/>
      <w:lvlJc w:val="left"/>
      <w:pPr>
        <w:ind w:left="6853" w:hanging="184"/>
      </w:pPr>
      <w:rPr>
        <w:rFonts w:hint="default"/>
        <w:lang w:val="zh-CN" w:eastAsia="zh-CN" w:bidi="zh-CN"/>
      </w:rPr>
    </w:lvl>
    <w:lvl w:ilvl="6" w:tentative="0">
      <w:start w:val="0"/>
      <w:numFmt w:val="bullet"/>
      <w:lvlText w:val="•"/>
      <w:lvlJc w:val="left"/>
      <w:pPr>
        <w:ind w:left="7863" w:hanging="184"/>
      </w:pPr>
      <w:rPr>
        <w:rFonts w:hint="default"/>
        <w:lang w:val="zh-CN" w:eastAsia="zh-CN" w:bidi="zh-CN"/>
      </w:rPr>
    </w:lvl>
    <w:lvl w:ilvl="7" w:tentative="0">
      <w:start w:val="0"/>
      <w:numFmt w:val="bullet"/>
      <w:lvlText w:val="•"/>
      <w:lvlJc w:val="left"/>
      <w:pPr>
        <w:ind w:left="8874" w:hanging="184"/>
      </w:pPr>
      <w:rPr>
        <w:rFonts w:hint="default"/>
        <w:lang w:val="zh-CN" w:eastAsia="zh-CN" w:bidi="zh-CN"/>
      </w:rPr>
    </w:lvl>
    <w:lvl w:ilvl="8" w:tentative="0">
      <w:start w:val="0"/>
      <w:numFmt w:val="bullet"/>
      <w:lvlText w:val="•"/>
      <w:lvlJc w:val="left"/>
      <w:pPr>
        <w:ind w:left="9884" w:hanging="184"/>
      </w:pPr>
      <w:rPr>
        <w:rFonts w:hint="default"/>
        <w:lang w:val="zh-CN" w:eastAsia="zh-CN" w:bidi="zh-CN"/>
      </w:rPr>
    </w:lvl>
  </w:abstractNum>
  <w:abstractNum w:abstractNumId="21">
    <w:nsid w:val="B8CEF35B"/>
    <w:multiLevelType w:val="multilevel"/>
    <w:tmpl w:val="B8CEF35B"/>
    <w:lvl w:ilvl="0" w:tentative="0">
      <w:start w:val="1"/>
      <w:numFmt w:val="decimal"/>
      <w:lvlText w:val="（%1）"/>
      <w:lvlJc w:val="left"/>
      <w:pPr>
        <w:ind w:left="2900" w:hanging="621"/>
        <w:jc w:val="left"/>
      </w:pPr>
      <w:rPr>
        <w:rFonts w:hint="default" w:ascii="微软雅黑" w:hAnsi="微软雅黑" w:eastAsia="微软雅黑" w:cs="微软雅黑"/>
        <w:color w:val="333333"/>
        <w:spacing w:val="-2"/>
        <w:w w:val="100"/>
        <w:sz w:val="22"/>
        <w:szCs w:val="22"/>
        <w:lang w:val="zh-CN" w:eastAsia="zh-CN" w:bidi="zh-CN"/>
      </w:rPr>
    </w:lvl>
    <w:lvl w:ilvl="1" w:tentative="0">
      <w:start w:val="0"/>
      <w:numFmt w:val="bullet"/>
      <w:lvlText w:val="•"/>
      <w:lvlJc w:val="left"/>
      <w:pPr>
        <w:ind w:left="3800" w:hanging="621"/>
      </w:pPr>
      <w:rPr>
        <w:rFonts w:hint="default"/>
        <w:lang w:val="zh-CN" w:eastAsia="zh-CN" w:bidi="zh-CN"/>
      </w:rPr>
    </w:lvl>
    <w:lvl w:ilvl="2" w:tentative="0">
      <w:start w:val="0"/>
      <w:numFmt w:val="bullet"/>
      <w:lvlText w:val="•"/>
      <w:lvlJc w:val="left"/>
      <w:pPr>
        <w:ind w:left="4701" w:hanging="621"/>
      </w:pPr>
      <w:rPr>
        <w:rFonts w:hint="default"/>
        <w:lang w:val="zh-CN" w:eastAsia="zh-CN" w:bidi="zh-CN"/>
      </w:rPr>
    </w:lvl>
    <w:lvl w:ilvl="3" w:tentative="0">
      <w:start w:val="0"/>
      <w:numFmt w:val="bullet"/>
      <w:lvlText w:val="•"/>
      <w:lvlJc w:val="left"/>
      <w:pPr>
        <w:ind w:left="5601" w:hanging="621"/>
      </w:pPr>
      <w:rPr>
        <w:rFonts w:hint="default"/>
        <w:lang w:val="zh-CN" w:eastAsia="zh-CN" w:bidi="zh-CN"/>
      </w:rPr>
    </w:lvl>
    <w:lvl w:ilvl="4" w:tentative="0">
      <w:start w:val="0"/>
      <w:numFmt w:val="bullet"/>
      <w:lvlText w:val="•"/>
      <w:lvlJc w:val="left"/>
      <w:pPr>
        <w:ind w:left="6502" w:hanging="621"/>
      </w:pPr>
      <w:rPr>
        <w:rFonts w:hint="default"/>
        <w:lang w:val="zh-CN" w:eastAsia="zh-CN" w:bidi="zh-CN"/>
      </w:rPr>
    </w:lvl>
    <w:lvl w:ilvl="5" w:tentative="0">
      <w:start w:val="0"/>
      <w:numFmt w:val="bullet"/>
      <w:lvlText w:val="•"/>
      <w:lvlJc w:val="left"/>
      <w:pPr>
        <w:ind w:left="7403" w:hanging="621"/>
      </w:pPr>
      <w:rPr>
        <w:rFonts w:hint="default"/>
        <w:lang w:val="zh-CN" w:eastAsia="zh-CN" w:bidi="zh-CN"/>
      </w:rPr>
    </w:lvl>
    <w:lvl w:ilvl="6" w:tentative="0">
      <w:start w:val="0"/>
      <w:numFmt w:val="bullet"/>
      <w:lvlText w:val="•"/>
      <w:lvlJc w:val="left"/>
      <w:pPr>
        <w:ind w:left="8303" w:hanging="621"/>
      </w:pPr>
      <w:rPr>
        <w:rFonts w:hint="default"/>
        <w:lang w:val="zh-CN" w:eastAsia="zh-CN" w:bidi="zh-CN"/>
      </w:rPr>
    </w:lvl>
    <w:lvl w:ilvl="7" w:tentative="0">
      <w:start w:val="0"/>
      <w:numFmt w:val="bullet"/>
      <w:lvlText w:val="•"/>
      <w:lvlJc w:val="left"/>
      <w:pPr>
        <w:ind w:left="9204" w:hanging="621"/>
      </w:pPr>
      <w:rPr>
        <w:rFonts w:hint="default"/>
        <w:lang w:val="zh-CN" w:eastAsia="zh-CN" w:bidi="zh-CN"/>
      </w:rPr>
    </w:lvl>
    <w:lvl w:ilvl="8" w:tentative="0">
      <w:start w:val="0"/>
      <w:numFmt w:val="bullet"/>
      <w:lvlText w:val="•"/>
      <w:lvlJc w:val="left"/>
      <w:pPr>
        <w:ind w:left="10104" w:hanging="621"/>
      </w:pPr>
      <w:rPr>
        <w:rFonts w:hint="default"/>
        <w:lang w:val="zh-CN" w:eastAsia="zh-CN" w:bidi="zh-CN"/>
      </w:rPr>
    </w:lvl>
  </w:abstractNum>
  <w:abstractNum w:abstractNumId="22">
    <w:nsid w:val="BB64CFA9"/>
    <w:multiLevelType w:val="multilevel"/>
    <w:tmpl w:val="BB64CFA9"/>
    <w:lvl w:ilvl="0" w:tentative="0">
      <w:start w:val="1"/>
      <w:numFmt w:val="decimal"/>
      <w:lvlText w:val="（%1）"/>
      <w:lvlJc w:val="left"/>
      <w:pPr>
        <w:ind w:left="2900" w:hanging="621"/>
        <w:jc w:val="left"/>
      </w:pPr>
      <w:rPr>
        <w:rFonts w:hint="default" w:ascii="微软雅黑" w:hAnsi="微软雅黑" w:eastAsia="微软雅黑" w:cs="微软雅黑"/>
        <w:color w:val="333333"/>
        <w:spacing w:val="-2"/>
        <w:w w:val="100"/>
        <w:sz w:val="22"/>
        <w:szCs w:val="22"/>
        <w:lang w:val="zh-CN" w:eastAsia="zh-CN" w:bidi="zh-CN"/>
      </w:rPr>
    </w:lvl>
    <w:lvl w:ilvl="1" w:tentative="0">
      <w:start w:val="0"/>
      <w:numFmt w:val="bullet"/>
      <w:lvlText w:val="•"/>
      <w:lvlJc w:val="left"/>
      <w:pPr>
        <w:ind w:left="3800" w:hanging="621"/>
      </w:pPr>
      <w:rPr>
        <w:rFonts w:hint="default"/>
        <w:lang w:val="zh-CN" w:eastAsia="zh-CN" w:bidi="zh-CN"/>
      </w:rPr>
    </w:lvl>
    <w:lvl w:ilvl="2" w:tentative="0">
      <w:start w:val="0"/>
      <w:numFmt w:val="bullet"/>
      <w:lvlText w:val="•"/>
      <w:lvlJc w:val="left"/>
      <w:pPr>
        <w:ind w:left="4701" w:hanging="621"/>
      </w:pPr>
      <w:rPr>
        <w:rFonts w:hint="default"/>
        <w:lang w:val="zh-CN" w:eastAsia="zh-CN" w:bidi="zh-CN"/>
      </w:rPr>
    </w:lvl>
    <w:lvl w:ilvl="3" w:tentative="0">
      <w:start w:val="0"/>
      <w:numFmt w:val="bullet"/>
      <w:lvlText w:val="•"/>
      <w:lvlJc w:val="left"/>
      <w:pPr>
        <w:ind w:left="5601" w:hanging="621"/>
      </w:pPr>
      <w:rPr>
        <w:rFonts w:hint="default"/>
        <w:lang w:val="zh-CN" w:eastAsia="zh-CN" w:bidi="zh-CN"/>
      </w:rPr>
    </w:lvl>
    <w:lvl w:ilvl="4" w:tentative="0">
      <w:start w:val="0"/>
      <w:numFmt w:val="bullet"/>
      <w:lvlText w:val="•"/>
      <w:lvlJc w:val="left"/>
      <w:pPr>
        <w:ind w:left="6502" w:hanging="621"/>
      </w:pPr>
      <w:rPr>
        <w:rFonts w:hint="default"/>
        <w:lang w:val="zh-CN" w:eastAsia="zh-CN" w:bidi="zh-CN"/>
      </w:rPr>
    </w:lvl>
    <w:lvl w:ilvl="5" w:tentative="0">
      <w:start w:val="0"/>
      <w:numFmt w:val="bullet"/>
      <w:lvlText w:val="•"/>
      <w:lvlJc w:val="left"/>
      <w:pPr>
        <w:ind w:left="7403" w:hanging="621"/>
      </w:pPr>
      <w:rPr>
        <w:rFonts w:hint="default"/>
        <w:lang w:val="zh-CN" w:eastAsia="zh-CN" w:bidi="zh-CN"/>
      </w:rPr>
    </w:lvl>
    <w:lvl w:ilvl="6" w:tentative="0">
      <w:start w:val="0"/>
      <w:numFmt w:val="bullet"/>
      <w:lvlText w:val="•"/>
      <w:lvlJc w:val="left"/>
      <w:pPr>
        <w:ind w:left="8303" w:hanging="621"/>
      </w:pPr>
      <w:rPr>
        <w:rFonts w:hint="default"/>
        <w:lang w:val="zh-CN" w:eastAsia="zh-CN" w:bidi="zh-CN"/>
      </w:rPr>
    </w:lvl>
    <w:lvl w:ilvl="7" w:tentative="0">
      <w:start w:val="0"/>
      <w:numFmt w:val="bullet"/>
      <w:lvlText w:val="•"/>
      <w:lvlJc w:val="left"/>
      <w:pPr>
        <w:ind w:left="9204" w:hanging="621"/>
      </w:pPr>
      <w:rPr>
        <w:rFonts w:hint="default"/>
        <w:lang w:val="zh-CN" w:eastAsia="zh-CN" w:bidi="zh-CN"/>
      </w:rPr>
    </w:lvl>
    <w:lvl w:ilvl="8" w:tentative="0">
      <w:start w:val="0"/>
      <w:numFmt w:val="bullet"/>
      <w:lvlText w:val="•"/>
      <w:lvlJc w:val="left"/>
      <w:pPr>
        <w:ind w:left="10104" w:hanging="621"/>
      </w:pPr>
      <w:rPr>
        <w:rFonts w:hint="default"/>
        <w:lang w:val="zh-CN" w:eastAsia="zh-CN" w:bidi="zh-CN"/>
      </w:rPr>
    </w:lvl>
  </w:abstractNum>
  <w:abstractNum w:abstractNumId="23">
    <w:nsid w:val="BDA1395C"/>
    <w:multiLevelType w:val="multilevel"/>
    <w:tmpl w:val="BDA1395C"/>
    <w:lvl w:ilvl="0" w:tentative="0">
      <w:start w:val="1"/>
      <w:numFmt w:val="decimal"/>
      <w:lvlText w:val="%1."/>
      <w:lvlJc w:val="left"/>
      <w:pPr>
        <w:ind w:left="2463"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3404" w:hanging="184"/>
      </w:pPr>
      <w:rPr>
        <w:rFonts w:hint="default"/>
        <w:lang w:val="zh-CN" w:eastAsia="zh-CN" w:bidi="zh-CN"/>
      </w:rPr>
    </w:lvl>
    <w:lvl w:ilvl="2" w:tentative="0">
      <w:start w:val="0"/>
      <w:numFmt w:val="bullet"/>
      <w:lvlText w:val="•"/>
      <w:lvlJc w:val="left"/>
      <w:pPr>
        <w:ind w:left="4349" w:hanging="184"/>
      </w:pPr>
      <w:rPr>
        <w:rFonts w:hint="default"/>
        <w:lang w:val="zh-CN" w:eastAsia="zh-CN" w:bidi="zh-CN"/>
      </w:rPr>
    </w:lvl>
    <w:lvl w:ilvl="3" w:tentative="0">
      <w:start w:val="0"/>
      <w:numFmt w:val="bullet"/>
      <w:lvlText w:val="•"/>
      <w:lvlJc w:val="left"/>
      <w:pPr>
        <w:ind w:left="5293" w:hanging="184"/>
      </w:pPr>
      <w:rPr>
        <w:rFonts w:hint="default"/>
        <w:lang w:val="zh-CN" w:eastAsia="zh-CN" w:bidi="zh-CN"/>
      </w:rPr>
    </w:lvl>
    <w:lvl w:ilvl="4" w:tentative="0">
      <w:start w:val="0"/>
      <w:numFmt w:val="bullet"/>
      <w:lvlText w:val="•"/>
      <w:lvlJc w:val="left"/>
      <w:pPr>
        <w:ind w:left="6238" w:hanging="184"/>
      </w:pPr>
      <w:rPr>
        <w:rFonts w:hint="default"/>
        <w:lang w:val="zh-CN" w:eastAsia="zh-CN" w:bidi="zh-CN"/>
      </w:rPr>
    </w:lvl>
    <w:lvl w:ilvl="5" w:tentative="0">
      <w:start w:val="0"/>
      <w:numFmt w:val="bullet"/>
      <w:lvlText w:val="•"/>
      <w:lvlJc w:val="left"/>
      <w:pPr>
        <w:ind w:left="7183" w:hanging="184"/>
      </w:pPr>
      <w:rPr>
        <w:rFonts w:hint="default"/>
        <w:lang w:val="zh-CN" w:eastAsia="zh-CN" w:bidi="zh-CN"/>
      </w:rPr>
    </w:lvl>
    <w:lvl w:ilvl="6" w:tentative="0">
      <w:start w:val="0"/>
      <w:numFmt w:val="bullet"/>
      <w:lvlText w:val="•"/>
      <w:lvlJc w:val="left"/>
      <w:pPr>
        <w:ind w:left="8127" w:hanging="184"/>
      </w:pPr>
      <w:rPr>
        <w:rFonts w:hint="default"/>
        <w:lang w:val="zh-CN" w:eastAsia="zh-CN" w:bidi="zh-CN"/>
      </w:rPr>
    </w:lvl>
    <w:lvl w:ilvl="7" w:tentative="0">
      <w:start w:val="0"/>
      <w:numFmt w:val="bullet"/>
      <w:lvlText w:val="•"/>
      <w:lvlJc w:val="left"/>
      <w:pPr>
        <w:ind w:left="9072" w:hanging="184"/>
      </w:pPr>
      <w:rPr>
        <w:rFonts w:hint="default"/>
        <w:lang w:val="zh-CN" w:eastAsia="zh-CN" w:bidi="zh-CN"/>
      </w:rPr>
    </w:lvl>
    <w:lvl w:ilvl="8" w:tentative="0">
      <w:start w:val="0"/>
      <w:numFmt w:val="bullet"/>
      <w:lvlText w:val="•"/>
      <w:lvlJc w:val="left"/>
      <w:pPr>
        <w:ind w:left="10016" w:hanging="184"/>
      </w:pPr>
      <w:rPr>
        <w:rFonts w:hint="default"/>
        <w:lang w:val="zh-CN" w:eastAsia="zh-CN" w:bidi="zh-CN"/>
      </w:rPr>
    </w:lvl>
  </w:abstractNum>
  <w:abstractNum w:abstractNumId="24">
    <w:nsid w:val="BE8A4F4C"/>
    <w:multiLevelType w:val="multilevel"/>
    <w:tmpl w:val="BE8A4F4C"/>
    <w:lvl w:ilvl="0" w:tentative="0">
      <w:start w:val="1"/>
      <w:numFmt w:val="decimal"/>
      <w:lvlText w:val="%1."/>
      <w:lvlJc w:val="left"/>
      <w:pPr>
        <w:ind w:left="1800"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2810" w:hanging="184"/>
      </w:pPr>
      <w:rPr>
        <w:rFonts w:hint="default"/>
        <w:lang w:val="zh-CN" w:eastAsia="zh-CN" w:bidi="zh-CN"/>
      </w:rPr>
    </w:lvl>
    <w:lvl w:ilvl="2" w:tentative="0">
      <w:start w:val="0"/>
      <w:numFmt w:val="bullet"/>
      <w:lvlText w:val="•"/>
      <w:lvlJc w:val="left"/>
      <w:pPr>
        <w:ind w:left="3821" w:hanging="184"/>
      </w:pPr>
      <w:rPr>
        <w:rFonts w:hint="default"/>
        <w:lang w:val="zh-CN" w:eastAsia="zh-CN" w:bidi="zh-CN"/>
      </w:rPr>
    </w:lvl>
    <w:lvl w:ilvl="3" w:tentative="0">
      <w:start w:val="0"/>
      <w:numFmt w:val="bullet"/>
      <w:lvlText w:val="•"/>
      <w:lvlJc w:val="left"/>
      <w:pPr>
        <w:ind w:left="4831" w:hanging="184"/>
      </w:pPr>
      <w:rPr>
        <w:rFonts w:hint="default"/>
        <w:lang w:val="zh-CN" w:eastAsia="zh-CN" w:bidi="zh-CN"/>
      </w:rPr>
    </w:lvl>
    <w:lvl w:ilvl="4" w:tentative="0">
      <w:start w:val="0"/>
      <w:numFmt w:val="bullet"/>
      <w:lvlText w:val="•"/>
      <w:lvlJc w:val="left"/>
      <w:pPr>
        <w:ind w:left="5842" w:hanging="184"/>
      </w:pPr>
      <w:rPr>
        <w:rFonts w:hint="default"/>
        <w:lang w:val="zh-CN" w:eastAsia="zh-CN" w:bidi="zh-CN"/>
      </w:rPr>
    </w:lvl>
    <w:lvl w:ilvl="5" w:tentative="0">
      <w:start w:val="0"/>
      <w:numFmt w:val="bullet"/>
      <w:lvlText w:val="•"/>
      <w:lvlJc w:val="left"/>
      <w:pPr>
        <w:ind w:left="6853" w:hanging="184"/>
      </w:pPr>
      <w:rPr>
        <w:rFonts w:hint="default"/>
        <w:lang w:val="zh-CN" w:eastAsia="zh-CN" w:bidi="zh-CN"/>
      </w:rPr>
    </w:lvl>
    <w:lvl w:ilvl="6" w:tentative="0">
      <w:start w:val="0"/>
      <w:numFmt w:val="bullet"/>
      <w:lvlText w:val="•"/>
      <w:lvlJc w:val="left"/>
      <w:pPr>
        <w:ind w:left="7863" w:hanging="184"/>
      </w:pPr>
      <w:rPr>
        <w:rFonts w:hint="default"/>
        <w:lang w:val="zh-CN" w:eastAsia="zh-CN" w:bidi="zh-CN"/>
      </w:rPr>
    </w:lvl>
    <w:lvl w:ilvl="7" w:tentative="0">
      <w:start w:val="0"/>
      <w:numFmt w:val="bullet"/>
      <w:lvlText w:val="•"/>
      <w:lvlJc w:val="left"/>
      <w:pPr>
        <w:ind w:left="8874" w:hanging="184"/>
      </w:pPr>
      <w:rPr>
        <w:rFonts w:hint="default"/>
        <w:lang w:val="zh-CN" w:eastAsia="zh-CN" w:bidi="zh-CN"/>
      </w:rPr>
    </w:lvl>
    <w:lvl w:ilvl="8" w:tentative="0">
      <w:start w:val="0"/>
      <w:numFmt w:val="bullet"/>
      <w:lvlText w:val="•"/>
      <w:lvlJc w:val="left"/>
      <w:pPr>
        <w:ind w:left="9884" w:hanging="184"/>
      </w:pPr>
      <w:rPr>
        <w:rFonts w:hint="default"/>
        <w:lang w:val="zh-CN" w:eastAsia="zh-CN" w:bidi="zh-CN"/>
      </w:rPr>
    </w:lvl>
  </w:abstractNum>
  <w:abstractNum w:abstractNumId="25">
    <w:nsid w:val="BE923771"/>
    <w:multiLevelType w:val="multilevel"/>
    <w:tmpl w:val="BE923771"/>
    <w:lvl w:ilvl="0" w:tentative="0">
      <w:start w:val="1"/>
      <w:numFmt w:val="decimal"/>
      <w:lvlText w:val="%1."/>
      <w:lvlJc w:val="left"/>
      <w:pPr>
        <w:ind w:left="2480" w:hanging="201"/>
        <w:jc w:val="left"/>
      </w:pPr>
      <w:rPr>
        <w:rFonts w:hint="default" w:ascii="微软雅黑" w:hAnsi="微软雅黑" w:eastAsia="微软雅黑" w:cs="微软雅黑"/>
        <w:color w:val="333333"/>
        <w:spacing w:val="-3"/>
        <w:w w:val="100"/>
        <w:sz w:val="22"/>
        <w:szCs w:val="22"/>
        <w:lang w:val="zh-CN" w:eastAsia="zh-CN" w:bidi="zh-CN"/>
      </w:rPr>
    </w:lvl>
    <w:lvl w:ilvl="1" w:tentative="0">
      <w:start w:val="0"/>
      <w:numFmt w:val="bullet"/>
      <w:lvlText w:val="•"/>
      <w:lvlJc w:val="left"/>
      <w:pPr>
        <w:ind w:left="3422" w:hanging="201"/>
      </w:pPr>
      <w:rPr>
        <w:rFonts w:hint="default"/>
        <w:lang w:val="zh-CN" w:eastAsia="zh-CN" w:bidi="zh-CN"/>
      </w:rPr>
    </w:lvl>
    <w:lvl w:ilvl="2" w:tentative="0">
      <w:start w:val="0"/>
      <w:numFmt w:val="bullet"/>
      <w:lvlText w:val="•"/>
      <w:lvlJc w:val="left"/>
      <w:pPr>
        <w:ind w:left="4365" w:hanging="201"/>
      </w:pPr>
      <w:rPr>
        <w:rFonts w:hint="default"/>
        <w:lang w:val="zh-CN" w:eastAsia="zh-CN" w:bidi="zh-CN"/>
      </w:rPr>
    </w:lvl>
    <w:lvl w:ilvl="3" w:tentative="0">
      <w:start w:val="0"/>
      <w:numFmt w:val="bullet"/>
      <w:lvlText w:val="•"/>
      <w:lvlJc w:val="left"/>
      <w:pPr>
        <w:ind w:left="5307" w:hanging="201"/>
      </w:pPr>
      <w:rPr>
        <w:rFonts w:hint="default"/>
        <w:lang w:val="zh-CN" w:eastAsia="zh-CN" w:bidi="zh-CN"/>
      </w:rPr>
    </w:lvl>
    <w:lvl w:ilvl="4" w:tentative="0">
      <w:start w:val="0"/>
      <w:numFmt w:val="bullet"/>
      <w:lvlText w:val="•"/>
      <w:lvlJc w:val="left"/>
      <w:pPr>
        <w:ind w:left="6250" w:hanging="201"/>
      </w:pPr>
      <w:rPr>
        <w:rFonts w:hint="default"/>
        <w:lang w:val="zh-CN" w:eastAsia="zh-CN" w:bidi="zh-CN"/>
      </w:rPr>
    </w:lvl>
    <w:lvl w:ilvl="5" w:tentative="0">
      <w:start w:val="0"/>
      <w:numFmt w:val="bullet"/>
      <w:lvlText w:val="•"/>
      <w:lvlJc w:val="left"/>
      <w:pPr>
        <w:ind w:left="7193" w:hanging="201"/>
      </w:pPr>
      <w:rPr>
        <w:rFonts w:hint="default"/>
        <w:lang w:val="zh-CN" w:eastAsia="zh-CN" w:bidi="zh-CN"/>
      </w:rPr>
    </w:lvl>
    <w:lvl w:ilvl="6" w:tentative="0">
      <w:start w:val="0"/>
      <w:numFmt w:val="bullet"/>
      <w:lvlText w:val="•"/>
      <w:lvlJc w:val="left"/>
      <w:pPr>
        <w:ind w:left="8135" w:hanging="201"/>
      </w:pPr>
      <w:rPr>
        <w:rFonts w:hint="default"/>
        <w:lang w:val="zh-CN" w:eastAsia="zh-CN" w:bidi="zh-CN"/>
      </w:rPr>
    </w:lvl>
    <w:lvl w:ilvl="7" w:tentative="0">
      <w:start w:val="0"/>
      <w:numFmt w:val="bullet"/>
      <w:lvlText w:val="•"/>
      <w:lvlJc w:val="left"/>
      <w:pPr>
        <w:ind w:left="9078" w:hanging="201"/>
      </w:pPr>
      <w:rPr>
        <w:rFonts w:hint="default"/>
        <w:lang w:val="zh-CN" w:eastAsia="zh-CN" w:bidi="zh-CN"/>
      </w:rPr>
    </w:lvl>
    <w:lvl w:ilvl="8" w:tentative="0">
      <w:start w:val="0"/>
      <w:numFmt w:val="bullet"/>
      <w:lvlText w:val="•"/>
      <w:lvlJc w:val="left"/>
      <w:pPr>
        <w:ind w:left="10020" w:hanging="201"/>
      </w:pPr>
      <w:rPr>
        <w:rFonts w:hint="default"/>
        <w:lang w:val="zh-CN" w:eastAsia="zh-CN" w:bidi="zh-CN"/>
      </w:rPr>
    </w:lvl>
  </w:abstractNum>
  <w:abstractNum w:abstractNumId="26">
    <w:nsid w:val="BF205925"/>
    <w:multiLevelType w:val="multilevel"/>
    <w:tmpl w:val="BF205925"/>
    <w:lvl w:ilvl="0" w:tentative="0">
      <w:start w:val="1"/>
      <w:numFmt w:val="decimal"/>
      <w:lvlText w:val="%1."/>
      <w:lvlJc w:val="left"/>
      <w:pPr>
        <w:ind w:left="1800" w:hanging="201"/>
        <w:jc w:val="left"/>
      </w:pPr>
      <w:rPr>
        <w:rFonts w:hint="default"/>
        <w:spacing w:val="-20"/>
        <w:sz w:val="22"/>
        <w:szCs w:val="22"/>
        <w:u w:val="single" w:color="0000FF"/>
        <w:lang w:val="zh-CN" w:eastAsia="zh-CN" w:bidi="zh-CN"/>
      </w:rPr>
    </w:lvl>
    <w:lvl w:ilvl="1" w:tentative="0">
      <w:start w:val="0"/>
      <w:numFmt w:val="bullet"/>
      <w:lvlText w:val="•"/>
      <w:lvlJc w:val="left"/>
      <w:pPr>
        <w:ind w:left="2810" w:hanging="201"/>
      </w:pPr>
      <w:rPr>
        <w:rFonts w:hint="default"/>
        <w:lang w:val="zh-CN" w:eastAsia="zh-CN" w:bidi="zh-CN"/>
      </w:rPr>
    </w:lvl>
    <w:lvl w:ilvl="2" w:tentative="0">
      <w:start w:val="0"/>
      <w:numFmt w:val="bullet"/>
      <w:lvlText w:val="•"/>
      <w:lvlJc w:val="left"/>
      <w:pPr>
        <w:ind w:left="3821" w:hanging="201"/>
      </w:pPr>
      <w:rPr>
        <w:rFonts w:hint="default"/>
        <w:lang w:val="zh-CN" w:eastAsia="zh-CN" w:bidi="zh-CN"/>
      </w:rPr>
    </w:lvl>
    <w:lvl w:ilvl="3" w:tentative="0">
      <w:start w:val="0"/>
      <w:numFmt w:val="bullet"/>
      <w:lvlText w:val="•"/>
      <w:lvlJc w:val="left"/>
      <w:pPr>
        <w:ind w:left="4831" w:hanging="201"/>
      </w:pPr>
      <w:rPr>
        <w:rFonts w:hint="default"/>
        <w:lang w:val="zh-CN" w:eastAsia="zh-CN" w:bidi="zh-CN"/>
      </w:rPr>
    </w:lvl>
    <w:lvl w:ilvl="4" w:tentative="0">
      <w:start w:val="0"/>
      <w:numFmt w:val="bullet"/>
      <w:lvlText w:val="•"/>
      <w:lvlJc w:val="left"/>
      <w:pPr>
        <w:ind w:left="5842" w:hanging="201"/>
      </w:pPr>
      <w:rPr>
        <w:rFonts w:hint="default"/>
        <w:lang w:val="zh-CN" w:eastAsia="zh-CN" w:bidi="zh-CN"/>
      </w:rPr>
    </w:lvl>
    <w:lvl w:ilvl="5" w:tentative="0">
      <w:start w:val="0"/>
      <w:numFmt w:val="bullet"/>
      <w:lvlText w:val="•"/>
      <w:lvlJc w:val="left"/>
      <w:pPr>
        <w:ind w:left="6853" w:hanging="201"/>
      </w:pPr>
      <w:rPr>
        <w:rFonts w:hint="default"/>
        <w:lang w:val="zh-CN" w:eastAsia="zh-CN" w:bidi="zh-CN"/>
      </w:rPr>
    </w:lvl>
    <w:lvl w:ilvl="6" w:tentative="0">
      <w:start w:val="0"/>
      <w:numFmt w:val="bullet"/>
      <w:lvlText w:val="•"/>
      <w:lvlJc w:val="left"/>
      <w:pPr>
        <w:ind w:left="7863" w:hanging="201"/>
      </w:pPr>
      <w:rPr>
        <w:rFonts w:hint="default"/>
        <w:lang w:val="zh-CN" w:eastAsia="zh-CN" w:bidi="zh-CN"/>
      </w:rPr>
    </w:lvl>
    <w:lvl w:ilvl="7" w:tentative="0">
      <w:start w:val="0"/>
      <w:numFmt w:val="bullet"/>
      <w:lvlText w:val="•"/>
      <w:lvlJc w:val="left"/>
      <w:pPr>
        <w:ind w:left="8874" w:hanging="201"/>
      </w:pPr>
      <w:rPr>
        <w:rFonts w:hint="default"/>
        <w:lang w:val="zh-CN" w:eastAsia="zh-CN" w:bidi="zh-CN"/>
      </w:rPr>
    </w:lvl>
    <w:lvl w:ilvl="8" w:tentative="0">
      <w:start w:val="0"/>
      <w:numFmt w:val="bullet"/>
      <w:lvlText w:val="•"/>
      <w:lvlJc w:val="left"/>
      <w:pPr>
        <w:ind w:left="9884" w:hanging="201"/>
      </w:pPr>
      <w:rPr>
        <w:rFonts w:hint="default"/>
        <w:lang w:val="zh-CN" w:eastAsia="zh-CN" w:bidi="zh-CN"/>
      </w:rPr>
    </w:lvl>
  </w:abstractNum>
  <w:abstractNum w:abstractNumId="27">
    <w:nsid w:val="C0915F4F"/>
    <w:multiLevelType w:val="multilevel"/>
    <w:tmpl w:val="C0915F4F"/>
    <w:lvl w:ilvl="0" w:tentative="0">
      <w:start w:val="1"/>
      <w:numFmt w:val="decimal"/>
      <w:lvlText w:val="%1."/>
      <w:lvlJc w:val="left"/>
      <w:pPr>
        <w:ind w:left="1800"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2810" w:hanging="184"/>
      </w:pPr>
      <w:rPr>
        <w:rFonts w:hint="default"/>
        <w:lang w:val="zh-CN" w:eastAsia="zh-CN" w:bidi="zh-CN"/>
      </w:rPr>
    </w:lvl>
    <w:lvl w:ilvl="2" w:tentative="0">
      <w:start w:val="0"/>
      <w:numFmt w:val="bullet"/>
      <w:lvlText w:val="•"/>
      <w:lvlJc w:val="left"/>
      <w:pPr>
        <w:ind w:left="3821" w:hanging="184"/>
      </w:pPr>
      <w:rPr>
        <w:rFonts w:hint="default"/>
        <w:lang w:val="zh-CN" w:eastAsia="zh-CN" w:bidi="zh-CN"/>
      </w:rPr>
    </w:lvl>
    <w:lvl w:ilvl="3" w:tentative="0">
      <w:start w:val="0"/>
      <w:numFmt w:val="bullet"/>
      <w:lvlText w:val="•"/>
      <w:lvlJc w:val="left"/>
      <w:pPr>
        <w:ind w:left="4831" w:hanging="184"/>
      </w:pPr>
      <w:rPr>
        <w:rFonts w:hint="default"/>
        <w:lang w:val="zh-CN" w:eastAsia="zh-CN" w:bidi="zh-CN"/>
      </w:rPr>
    </w:lvl>
    <w:lvl w:ilvl="4" w:tentative="0">
      <w:start w:val="0"/>
      <w:numFmt w:val="bullet"/>
      <w:lvlText w:val="•"/>
      <w:lvlJc w:val="left"/>
      <w:pPr>
        <w:ind w:left="5842" w:hanging="184"/>
      </w:pPr>
      <w:rPr>
        <w:rFonts w:hint="default"/>
        <w:lang w:val="zh-CN" w:eastAsia="zh-CN" w:bidi="zh-CN"/>
      </w:rPr>
    </w:lvl>
    <w:lvl w:ilvl="5" w:tentative="0">
      <w:start w:val="0"/>
      <w:numFmt w:val="bullet"/>
      <w:lvlText w:val="•"/>
      <w:lvlJc w:val="left"/>
      <w:pPr>
        <w:ind w:left="6853" w:hanging="184"/>
      </w:pPr>
      <w:rPr>
        <w:rFonts w:hint="default"/>
        <w:lang w:val="zh-CN" w:eastAsia="zh-CN" w:bidi="zh-CN"/>
      </w:rPr>
    </w:lvl>
    <w:lvl w:ilvl="6" w:tentative="0">
      <w:start w:val="0"/>
      <w:numFmt w:val="bullet"/>
      <w:lvlText w:val="•"/>
      <w:lvlJc w:val="left"/>
      <w:pPr>
        <w:ind w:left="7863" w:hanging="184"/>
      </w:pPr>
      <w:rPr>
        <w:rFonts w:hint="default"/>
        <w:lang w:val="zh-CN" w:eastAsia="zh-CN" w:bidi="zh-CN"/>
      </w:rPr>
    </w:lvl>
    <w:lvl w:ilvl="7" w:tentative="0">
      <w:start w:val="0"/>
      <w:numFmt w:val="bullet"/>
      <w:lvlText w:val="•"/>
      <w:lvlJc w:val="left"/>
      <w:pPr>
        <w:ind w:left="8874" w:hanging="184"/>
      </w:pPr>
      <w:rPr>
        <w:rFonts w:hint="default"/>
        <w:lang w:val="zh-CN" w:eastAsia="zh-CN" w:bidi="zh-CN"/>
      </w:rPr>
    </w:lvl>
    <w:lvl w:ilvl="8" w:tentative="0">
      <w:start w:val="0"/>
      <w:numFmt w:val="bullet"/>
      <w:lvlText w:val="•"/>
      <w:lvlJc w:val="left"/>
      <w:pPr>
        <w:ind w:left="9884" w:hanging="184"/>
      </w:pPr>
      <w:rPr>
        <w:rFonts w:hint="default"/>
        <w:lang w:val="zh-CN" w:eastAsia="zh-CN" w:bidi="zh-CN"/>
      </w:rPr>
    </w:lvl>
  </w:abstractNum>
  <w:abstractNum w:abstractNumId="28">
    <w:nsid w:val="C4E0D24A"/>
    <w:multiLevelType w:val="multilevel"/>
    <w:tmpl w:val="C4E0D24A"/>
    <w:lvl w:ilvl="0" w:tentative="0">
      <w:start w:val="1"/>
      <w:numFmt w:val="decimal"/>
      <w:lvlText w:val="%1."/>
      <w:lvlJc w:val="left"/>
      <w:pPr>
        <w:ind w:left="2463"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3404" w:hanging="184"/>
      </w:pPr>
      <w:rPr>
        <w:rFonts w:hint="default"/>
        <w:lang w:val="zh-CN" w:eastAsia="zh-CN" w:bidi="zh-CN"/>
      </w:rPr>
    </w:lvl>
    <w:lvl w:ilvl="2" w:tentative="0">
      <w:start w:val="0"/>
      <w:numFmt w:val="bullet"/>
      <w:lvlText w:val="•"/>
      <w:lvlJc w:val="left"/>
      <w:pPr>
        <w:ind w:left="4349" w:hanging="184"/>
      </w:pPr>
      <w:rPr>
        <w:rFonts w:hint="default"/>
        <w:lang w:val="zh-CN" w:eastAsia="zh-CN" w:bidi="zh-CN"/>
      </w:rPr>
    </w:lvl>
    <w:lvl w:ilvl="3" w:tentative="0">
      <w:start w:val="0"/>
      <w:numFmt w:val="bullet"/>
      <w:lvlText w:val="•"/>
      <w:lvlJc w:val="left"/>
      <w:pPr>
        <w:ind w:left="5293" w:hanging="184"/>
      </w:pPr>
      <w:rPr>
        <w:rFonts w:hint="default"/>
        <w:lang w:val="zh-CN" w:eastAsia="zh-CN" w:bidi="zh-CN"/>
      </w:rPr>
    </w:lvl>
    <w:lvl w:ilvl="4" w:tentative="0">
      <w:start w:val="0"/>
      <w:numFmt w:val="bullet"/>
      <w:lvlText w:val="•"/>
      <w:lvlJc w:val="left"/>
      <w:pPr>
        <w:ind w:left="6238" w:hanging="184"/>
      </w:pPr>
      <w:rPr>
        <w:rFonts w:hint="default"/>
        <w:lang w:val="zh-CN" w:eastAsia="zh-CN" w:bidi="zh-CN"/>
      </w:rPr>
    </w:lvl>
    <w:lvl w:ilvl="5" w:tentative="0">
      <w:start w:val="0"/>
      <w:numFmt w:val="bullet"/>
      <w:lvlText w:val="•"/>
      <w:lvlJc w:val="left"/>
      <w:pPr>
        <w:ind w:left="7183" w:hanging="184"/>
      </w:pPr>
      <w:rPr>
        <w:rFonts w:hint="default"/>
        <w:lang w:val="zh-CN" w:eastAsia="zh-CN" w:bidi="zh-CN"/>
      </w:rPr>
    </w:lvl>
    <w:lvl w:ilvl="6" w:tentative="0">
      <w:start w:val="0"/>
      <w:numFmt w:val="bullet"/>
      <w:lvlText w:val="•"/>
      <w:lvlJc w:val="left"/>
      <w:pPr>
        <w:ind w:left="8127" w:hanging="184"/>
      </w:pPr>
      <w:rPr>
        <w:rFonts w:hint="default"/>
        <w:lang w:val="zh-CN" w:eastAsia="zh-CN" w:bidi="zh-CN"/>
      </w:rPr>
    </w:lvl>
    <w:lvl w:ilvl="7" w:tentative="0">
      <w:start w:val="0"/>
      <w:numFmt w:val="bullet"/>
      <w:lvlText w:val="•"/>
      <w:lvlJc w:val="left"/>
      <w:pPr>
        <w:ind w:left="9072" w:hanging="184"/>
      </w:pPr>
      <w:rPr>
        <w:rFonts w:hint="default"/>
        <w:lang w:val="zh-CN" w:eastAsia="zh-CN" w:bidi="zh-CN"/>
      </w:rPr>
    </w:lvl>
    <w:lvl w:ilvl="8" w:tentative="0">
      <w:start w:val="0"/>
      <w:numFmt w:val="bullet"/>
      <w:lvlText w:val="•"/>
      <w:lvlJc w:val="left"/>
      <w:pPr>
        <w:ind w:left="10016" w:hanging="184"/>
      </w:pPr>
      <w:rPr>
        <w:rFonts w:hint="default"/>
        <w:lang w:val="zh-CN" w:eastAsia="zh-CN" w:bidi="zh-CN"/>
      </w:rPr>
    </w:lvl>
  </w:abstractNum>
  <w:abstractNum w:abstractNumId="29">
    <w:nsid w:val="C8879AEF"/>
    <w:multiLevelType w:val="multilevel"/>
    <w:tmpl w:val="C8879AEF"/>
    <w:lvl w:ilvl="0" w:tentative="0">
      <w:start w:val="1"/>
      <w:numFmt w:val="decimal"/>
      <w:lvlText w:val="%1."/>
      <w:lvlJc w:val="left"/>
      <w:pPr>
        <w:ind w:left="2480" w:hanging="201"/>
        <w:jc w:val="left"/>
      </w:pPr>
      <w:rPr>
        <w:rFonts w:hint="default" w:ascii="微软雅黑" w:hAnsi="微软雅黑" w:eastAsia="微软雅黑" w:cs="微软雅黑"/>
        <w:color w:val="333333"/>
        <w:spacing w:val="-3"/>
        <w:w w:val="100"/>
        <w:sz w:val="22"/>
        <w:szCs w:val="22"/>
        <w:lang w:val="zh-CN" w:eastAsia="zh-CN" w:bidi="zh-CN"/>
      </w:rPr>
    </w:lvl>
    <w:lvl w:ilvl="1" w:tentative="0">
      <w:start w:val="0"/>
      <w:numFmt w:val="bullet"/>
      <w:lvlText w:val="•"/>
      <w:lvlJc w:val="left"/>
      <w:pPr>
        <w:ind w:left="3422" w:hanging="201"/>
      </w:pPr>
      <w:rPr>
        <w:rFonts w:hint="default"/>
        <w:lang w:val="zh-CN" w:eastAsia="zh-CN" w:bidi="zh-CN"/>
      </w:rPr>
    </w:lvl>
    <w:lvl w:ilvl="2" w:tentative="0">
      <w:start w:val="0"/>
      <w:numFmt w:val="bullet"/>
      <w:lvlText w:val="•"/>
      <w:lvlJc w:val="left"/>
      <w:pPr>
        <w:ind w:left="4365" w:hanging="201"/>
      </w:pPr>
      <w:rPr>
        <w:rFonts w:hint="default"/>
        <w:lang w:val="zh-CN" w:eastAsia="zh-CN" w:bidi="zh-CN"/>
      </w:rPr>
    </w:lvl>
    <w:lvl w:ilvl="3" w:tentative="0">
      <w:start w:val="0"/>
      <w:numFmt w:val="bullet"/>
      <w:lvlText w:val="•"/>
      <w:lvlJc w:val="left"/>
      <w:pPr>
        <w:ind w:left="5307" w:hanging="201"/>
      </w:pPr>
      <w:rPr>
        <w:rFonts w:hint="default"/>
        <w:lang w:val="zh-CN" w:eastAsia="zh-CN" w:bidi="zh-CN"/>
      </w:rPr>
    </w:lvl>
    <w:lvl w:ilvl="4" w:tentative="0">
      <w:start w:val="0"/>
      <w:numFmt w:val="bullet"/>
      <w:lvlText w:val="•"/>
      <w:lvlJc w:val="left"/>
      <w:pPr>
        <w:ind w:left="6250" w:hanging="201"/>
      </w:pPr>
      <w:rPr>
        <w:rFonts w:hint="default"/>
        <w:lang w:val="zh-CN" w:eastAsia="zh-CN" w:bidi="zh-CN"/>
      </w:rPr>
    </w:lvl>
    <w:lvl w:ilvl="5" w:tentative="0">
      <w:start w:val="0"/>
      <w:numFmt w:val="bullet"/>
      <w:lvlText w:val="•"/>
      <w:lvlJc w:val="left"/>
      <w:pPr>
        <w:ind w:left="7193" w:hanging="201"/>
      </w:pPr>
      <w:rPr>
        <w:rFonts w:hint="default"/>
        <w:lang w:val="zh-CN" w:eastAsia="zh-CN" w:bidi="zh-CN"/>
      </w:rPr>
    </w:lvl>
    <w:lvl w:ilvl="6" w:tentative="0">
      <w:start w:val="0"/>
      <w:numFmt w:val="bullet"/>
      <w:lvlText w:val="•"/>
      <w:lvlJc w:val="left"/>
      <w:pPr>
        <w:ind w:left="8135" w:hanging="201"/>
      </w:pPr>
      <w:rPr>
        <w:rFonts w:hint="default"/>
        <w:lang w:val="zh-CN" w:eastAsia="zh-CN" w:bidi="zh-CN"/>
      </w:rPr>
    </w:lvl>
    <w:lvl w:ilvl="7" w:tentative="0">
      <w:start w:val="0"/>
      <w:numFmt w:val="bullet"/>
      <w:lvlText w:val="•"/>
      <w:lvlJc w:val="left"/>
      <w:pPr>
        <w:ind w:left="9078" w:hanging="201"/>
      </w:pPr>
      <w:rPr>
        <w:rFonts w:hint="default"/>
        <w:lang w:val="zh-CN" w:eastAsia="zh-CN" w:bidi="zh-CN"/>
      </w:rPr>
    </w:lvl>
    <w:lvl w:ilvl="8" w:tentative="0">
      <w:start w:val="0"/>
      <w:numFmt w:val="bullet"/>
      <w:lvlText w:val="•"/>
      <w:lvlJc w:val="left"/>
      <w:pPr>
        <w:ind w:left="10020" w:hanging="201"/>
      </w:pPr>
      <w:rPr>
        <w:rFonts w:hint="default"/>
        <w:lang w:val="zh-CN" w:eastAsia="zh-CN" w:bidi="zh-CN"/>
      </w:rPr>
    </w:lvl>
  </w:abstractNum>
  <w:abstractNum w:abstractNumId="30">
    <w:nsid w:val="CF092B84"/>
    <w:multiLevelType w:val="multilevel"/>
    <w:tmpl w:val="CF092B84"/>
    <w:lvl w:ilvl="0" w:tentative="0">
      <w:start w:val="1"/>
      <w:numFmt w:val="decimal"/>
      <w:lvlText w:val="%1."/>
      <w:lvlJc w:val="left"/>
      <w:pPr>
        <w:ind w:left="2480" w:hanging="201"/>
        <w:jc w:val="left"/>
      </w:pPr>
      <w:rPr>
        <w:rFonts w:hint="default" w:ascii="微软雅黑" w:hAnsi="微软雅黑" w:eastAsia="微软雅黑" w:cs="微软雅黑"/>
        <w:color w:val="333333"/>
        <w:spacing w:val="-3"/>
        <w:w w:val="100"/>
        <w:sz w:val="22"/>
        <w:szCs w:val="22"/>
        <w:lang w:val="zh-CN" w:eastAsia="zh-CN" w:bidi="zh-CN"/>
      </w:rPr>
    </w:lvl>
    <w:lvl w:ilvl="1" w:tentative="0">
      <w:start w:val="0"/>
      <w:numFmt w:val="bullet"/>
      <w:lvlText w:val="•"/>
      <w:lvlJc w:val="left"/>
      <w:pPr>
        <w:ind w:left="3422" w:hanging="201"/>
      </w:pPr>
      <w:rPr>
        <w:rFonts w:hint="default"/>
        <w:lang w:val="zh-CN" w:eastAsia="zh-CN" w:bidi="zh-CN"/>
      </w:rPr>
    </w:lvl>
    <w:lvl w:ilvl="2" w:tentative="0">
      <w:start w:val="0"/>
      <w:numFmt w:val="bullet"/>
      <w:lvlText w:val="•"/>
      <w:lvlJc w:val="left"/>
      <w:pPr>
        <w:ind w:left="4365" w:hanging="201"/>
      </w:pPr>
      <w:rPr>
        <w:rFonts w:hint="default"/>
        <w:lang w:val="zh-CN" w:eastAsia="zh-CN" w:bidi="zh-CN"/>
      </w:rPr>
    </w:lvl>
    <w:lvl w:ilvl="3" w:tentative="0">
      <w:start w:val="0"/>
      <w:numFmt w:val="bullet"/>
      <w:lvlText w:val="•"/>
      <w:lvlJc w:val="left"/>
      <w:pPr>
        <w:ind w:left="5307" w:hanging="201"/>
      </w:pPr>
      <w:rPr>
        <w:rFonts w:hint="default"/>
        <w:lang w:val="zh-CN" w:eastAsia="zh-CN" w:bidi="zh-CN"/>
      </w:rPr>
    </w:lvl>
    <w:lvl w:ilvl="4" w:tentative="0">
      <w:start w:val="0"/>
      <w:numFmt w:val="bullet"/>
      <w:lvlText w:val="•"/>
      <w:lvlJc w:val="left"/>
      <w:pPr>
        <w:ind w:left="6250" w:hanging="201"/>
      </w:pPr>
      <w:rPr>
        <w:rFonts w:hint="default"/>
        <w:lang w:val="zh-CN" w:eastAsia="zh-CN" w:bidi="zh-CN"/>
      </w:rPr>
    </w:lvl>
    <w:lvl w:ilvl="5" w:tentative="0">
      <w:start w:val="0"/>
      <w:numFmt w:val="bullet"/>
      <w:lvlText w:val="•"/>
      <w:lvlJc w:val="left"/>
      <w:pPr>
        <w:ind w:left="7193" w:hanging="201"/>
      </w:pPr>
      <w:rPr>
        <w:rFonts w:hint="default"/>
        <w:lang w:val="zh-CN" w:eastAsia="zh-CN" w:bidi="zh-CN"/>
      </w:rPr>
    </w:lvl>
    <w:lvl w:ilvl="6" w:tentative="0">
      <w:start w:val="0"/>
      <w:numFmt w:val="bullet"/>
      <w:lvlText w:val="•"/>
      <w:lvlJc w:val="left"/>
      <w:pPr>
        <w:ind w:left="8135" w:hanging="201"/>
      </w:pPr>
      <w:rPr>
        <w:rFonts w:hint="default"/>
        <w:lang w:val="zh-CN" w:eastAsia="zh-CN" w:bidi="zh-CN"/>
      </w:rPr>
    </w:lvl>
    <w:lvl w:ilvl="7" w:tentative="0">
      <w:start w:val="0"/>
      <w:numFmt w:val="bullet"/>
      <w:lvlText w:val="•"/>
      <w:lvlJc w:val="left"/>
      <w:pPr>
        <w:ind w:left="9078" w:hanging="201"/>
      </w:pPr>
      <w:rPr>
        <w:rFonts w:hint="default"/>
        <w:lang w:val="zh-CN" w:eastAsia="zh-CN" w:bidi="zh-CN"/>
      </w:rPr>
    </w:lvl>
    <w:lvl w:ilvl="8" w:tentative="0">
      <w:start w:val="0"/>
      <w:numFmt w:val="bullet"/>
      <w:lvlText w:val="•"/>
      <w:lvlJc w:val="left"/>
      <w:pPr>
        <w:ind w:left="10020" w:hanging="201"/>
      </w:pPr>
      <w:rPr>
        <w:rFonts w:hint="default"/>
        <w:lang w:val="zh-CN" w:eastAsia="zh-CN" w:bidi="zh-CN"/>
      </w:rPr>
    </w:lvl>
  </w:abstractNum>
  <w:abstractNum w:abstractNumId="31">
    <w:nsid w:val="D7D140E4"/>
    <w:multiLevelType w:val="multilevel"/>
    <w:tmpl w:val="D7D140E4"/>
    <w:lvl w:ilvl="0" w:tentative="0">
      <w:start w:val="1"/>
      <w:numFmt w:val="decimal"/>
      <w:lvlText w:val="%1."/>
      <w:lvlJc w:val="left"/>
      <w:pPr>
        <w:ind w:left="1800" w:hanging="201"/>
        <w:jc w:val="left"/>
      </w:pPr>
      <w:rPr>
        <w:rFonts w:hint="default"/>
        <w:spacing w:val="-53"/>
        <w:sz w:val="22"/>
        <w:szCs w:val="22"/>
        <w:u w:val="single" w:color="0000FF"/>
        <w:lang w:val="zh-CN" w:eastAsia="zh-CN" w:bidi="zh-CN"/>
      </w:rPr>
    </w:lvl>
    <w:lvl w:ilvl="1" w:tentative="0">
      <w:start w:val="0"/>
      <w:numFmt w:val="bullet"/>
      <w:lvlText w:val="•"/>
      <w:lvlJc w:val="left"/>
      <w:pPr>
        <w:ind w:left="2810" w:hanging="201"/>
      </w:pPr>
      <w:rPr>
        <w:rFonts w:hint="default"/>
        <w:lang w:val="zh-CN" w:eastAsia="zh-CN" w:bidi="zh-CN"/>
      </w:rPr>
    </w:lvl>
    <w:lvl w:ilvl="2" w:tentative="0">
      <w:start w:val="0"/>
      <w:numFmt w:val="bullet"/>
      <w:lvlText w:val="•"/>
      <w:lvlJc w:val="left"/>
      <w:pPr>
        <w:ind w:left="3821" w:hanging="201"/>
      </w:pPr>
      <w:rPr>
        <w:rFonts w:hint="default"/>
        <w:lang w:val="zh-CN" w:eastAsia="zh-CN" w:bidi="zh-CN"/>
      </w:rPr>
    </w:lvl>
    <w:lvl w:ilvl="3" w:tentative="0">
      <w:start w:val="0"/>
      <w:numFmt w:val="bullet"/>
      <w:lvlText w:val="•"/>
      <w:lvlJc w:val="left"/>
      <w:pPr>
        <w:ind w:left="4831" w:hanging="201"/>
      </w:pPr>
      <w:rPr>
        <w:rFonts w:hint="default"/>
        <w:lang w:val="zh-CN" w:eastAsia="zh-CN" w:bidi="zh-CN"/>
      </w:rPr>
    </w:lvl>
    <w:lvl w:ilvl="4" w:tentative="0">
      <w:start w:val="0"/>
      <w:numFmt w:val="bullet"/>
      <w:lvlText w:val="•"/>
      <w:lvlJc w:val="left"/>
      <w:pPr>
        <w:ind w:left="5842" w:hanging="201"/>
      </w:pPr>
      <w:rPr>
        <w:rFonts w:hint="default"/>
        <w:lang w:val="zh-CN" w:eastAsia="zh-CN" w:bidi="zh-CN"/>
      </w:rPr>
    </w:lvl>
    <w:lvl w:ilvl="5" w:tentative="0">
      <w:start w:val="0"/>
      <w:numFmt w:val="bullet"/>
      <w:lvlText w:val="•"/>
      <w:lvlJc w:val="left"/>
      <w:pPr>
        <w:ind w:left="6853" w:hanging="201"/>
      </w:pPr>
      <w:rPr>
        <w:rFonts w:hint="default"/>
        <w:lang w:val="zh-CN" w:eastAsia="zh-CN" w:bidi="zh-CN"/>
      </w:rPr>
    </w:lvl>
    <w:lvl w:ilvl="6" w:tentative="0">
      <w:start w:val="0"/>
      <w:numFmt w:val="bullet"/>
      <w:lvlText w:val="•"/>
      <w:lvlJc w:val="left"/>
      <w:pPr>
        <w:ind w:left="7863" w:hanging="201"/>
      </w:pPr>
      <w:rPr>
        <w:rFonts w:hint="default"/>
        <w:lang w:val="zh-CN" w:eastAsia="zh-CN" w:bidi="zh-CN"/>
      </w:rPr>
    </w:lvl>
    <w:lvl w:ilvl="7" w:tentative="0">
      <w:start w:val="0"/>
      <w:numFmt w:val="bullet"/>
      <w:lvlText w:val="•"/>
      <w:lvlJc w:val="left"/>
      <w:pPr>
        <w:ind w:left="8874" w:hanging="201"/>
      </w:pPr>
      <w:rPr>
        <w:rFonts w:hint="default"/>
        <w:lang w:val="zh-CN" w:eastAsia="zh-CN" w:bidi="zh-CN"/>
      </w:rPr>
    </w:lvl>
    <w:lvl w:ilvl="8" w:tentative="0">
      <w:start w:val="0"/>
      <w:numFmt w:val="bullet"/>
      <w:lvlText w:val="•"/>
      <w:lvlJc w:val="left"/>
      <w:pPr>
        <w:ind w:left="9884" w:hanging="201"/>
      </w:pPr>
      <w:rPr>
        <w:rFonts w:hint="default"/>
        <w:lang w:val="zh-CN" w:eastAsia="zh-CN" w:bidi="zh-CN"/>
      </w:rPr>
    </w:lvl>
  </w:abstractNum>
  <w:abstractNum w:abstractNumId="32">
    <w:nsid w:val="D7F9FE59"/>
    <w:multiLevelType w:val="multilevel"/>
    <w:tmpl w:val="D7F9FE59"/>
    <w:lvl w:ilvl="0" w:tentative="0">
      <w:start w:val="1"/>
      <w:numFmt w:val="decimal"/>
      <w:lvlText w:val="%1."/>
      <w:lvlJc w:val="left"/>
      <w:pPr>
        <w:ind w:left="2480" w:hanging="201"/>
        <w:jc w:val="left"/>
      </w:pPr>
      <w:rPr>
        <w:rFonts w:hint="default" w:ascii="微软雅黑" w:hAnsi="微软雅黑" w:eastAsia="微软雅黑" w:cs="微软雅黑"/>
        <w:spacing w:val="-3"/>
        <w:w w:val="100"/>
        <w:sz w:val="22"/>
        <w:szCs w:val="22"/>
        <w:lang w:val="zh-CN" w:eastAsia="zh-CN" w:bidi="zh-CN"/>
      </w:rPr>
    </w:lvl>
    <w:lvl w:ilvl="1" w:tentative="0">
      <w:start w:val="0"/>
      <w:numFmt w:val="bullet"/>
      <w:lvlText w:val="•"/>
      <w:lvlJc w:val="left"/>
      <w:pPr>
        <w:ind w:left="3422" w:hanging="201"/>
      </w:pPr>
      <w:rPr>
        <w:rFonts w:hint="default"/>
        <w:lang w:val="zh-CN" w:eastAsia="zh-CN" w:bidi="zh-CN"/>
      </w:rPr>
    </w:lvl>
    <w:lvl w:ilvl="2" w:tentative="0">
      <w:start w:val="0"/>
      <w:numFmt w:val="bullet"/>
      <w:lvlText w:val="•"/>
      <w:lvlJc w:val="left"/>
      <w:pPr>
        <w:ind w:left="4365" w:hanging="201"/>
      </w:pPr>
      <w:rPr>
        <w:rFonts w:hint="default"/>
        <w:lang w:val="zh-CN" w:eastAsia="zh-CN" w:bidi="zh-CN"/>
      </w:rPr>
    </w:lvl>
    <w:lvl w:ilvl="3" w:tentative="0">
      <w:start w:val="0"/>
      <w:numFmt w:val="bullet"/>
      <w:lvlText w:val="•"/>
      <w:lvlJc w:val="left"/>
      <w:pPr>
        <w:ind w:left="5307" w:hanging="201"/>
      </w:pPr>
      <w:rPr>
        <w:rFonts w:hint="default"/>
        <w:lang w:val="zh-CN" w:eastAsia="zh-CN" w:bidi="zh-CN"/>
      </w:rPr>
    </w:lvl>
    <w:lvl w:ilvl="4" w:tentative="0">
      <w:start w:val="0"/>
      <w:numFmt w:val="bullet"/>
      <w:lvlText w:val="•"/>
      <w:lvlJc w:val="left"/>
      <w:pPr>
        <w:ind w:left="6250" w:hanging="201"/>
      </w:pPr>
      <w:rPr>
        <w:rFonts w:hint="default"/>
        <w:lang w:val="zh-CN" w:eastAsia="zh-CN" w:bidi="zh-CN"/>
      </w:rPr>
    </w:lvl>
    <w:lvl w:ilvl="5" w:tentative="0">
      <w:start w:val="0"/>
      <w:numFmt w:val="bullet"/>
      <w:lvlText w:val="•"/>
      <w:lvlJc w:val="left"/>
      <w:pPr>
        <w:ind w:left="7193" w:hanging="201"/>
      </w:pPr>
      <w:rPr>
        <w:rFonts w:hint="default"/>
        <w:lang w:val="zh-CN" w:eastAsia="zh-CN" w:bidi="zh-CN"/>
      </w:rPr>
    </w:lvl>
    <w:lvl w:ilvl="6" w:tentative="0">
      <w:start w:val="0"/>
      <w:numFmt w:val="bullet"/>
      <w:lvlText w:val="•"/>
      <w:lvlJc w:val="left"/>
      <w:pPr>
        <w:ind w:left="8135" w:hanging="201"/>
      </w:pPr>
      <w:rPr>
        <w:rFonts w:hint="default"/>
        <w:lang w:val="zh-CN" w:eastAsia="zh-CN" w:bidi="zh-CN"/>
      </w:rPr>
    </w:lvl>
    <w:lvl w:ilvl="7" w:tentative="0">
      <w:start w:val="0"/>
      <w:numFmt w:val="bullet"/>
      <w:lvlText w:val="•"/>
      <w:lvlJc w:val="left"/>
      <w:pPr>
        <w:ind w:left="9078" w:hanging="201"/>
      </w:pPr>
      <w:rPr>
        <w:rFonts w:hint="default"/>
        <w:lang w:val="zh-CN" w:eastAsia="zh-CN" w:bidi="zh-CN"/>
      </w:rPr>
    </w:lvl>
    <w:lvl w:ilvl="8" w:tentative="0">
      <w:start w:val="0"/>
      <w:numFmt w:val="bullet"/>
      <w:lvlText w:val="•"/>
      <w:lvlJc w:val="left"/>
      <w:pPr>
        <w:ind w:left="10020" w:hanging="201"/>
      </w:pPr>
      <w:rPr>
        <w:rFonts w:hint="default"/>
        <w:lang w:val="zh-CN" w:eastAsia="zh-CN" w:bidi="zh-CN"/>
      </w:rPr>
    </w:lvl>
  </w:abstractNum>
  <w:abstractNum w:abstractNumId="33">
    <w:nsid w:val="DAD3A854"/>
    <w:multiLevelType w:val="multilevel"/>
    <w:tmpl w:val="DAD3A854"/>
    <w:lvl w:ilvl="0" w:tentative="0">
      <w:start w:val="1"/>
      <w:numFmt w:val="decimal"/>
      <w:lvlText w:val="%1."/>
      <w:lvlJc w:val="left"/>
      <w:pPr>
        <w:ind w:left="1800"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2810" w:hanging="184"/>
      </w:pPr>
      <w:rPr>
        <w:rFonts w:hint="default"/>
        <w:lang w:val="zh-CN" w:eastAsia="zh-CN" w:bidi="zh-CN"/>
      </w:rPr>
    </w:lvl>
    <w:lvl w:ilvl="2" w:tentative="0">
      <w:start w:val="0"/>
      <w:numFmt w:val="bullet"/>
      <w:lvlText w:val="•"/>
      <w:lvlJc w:val="left"/>
      <w:pPr>
        <w:ind w:left="3821" w:hanging="184"/>
      </w:pPr>
      <w:rPr>
        <w:rFonts w:hint="default"/>
        <w:lang w:val="zh-CN" w:eastAsia="zh-CN" w:bidi="zh-CN"/>
      </w:rPr>
    </w:lvl>
    <w:lvl w:ilvl="3" w:tentative="0">
      <w:start w:val="0"/>
      <w:numFmt w:val="bullet"/>
      <w:lvlText w:val="•"/>
      <w:lvlJc w:val="left"/>
      <w:pPr>
        <w:ind w:left="4831" w:hanging="184"/>
      </w:pPr>
      <w:rPr>
        <w:rFonts w:hint="default"/>
        <w:lang w:val="zh-CN" w:eastAsia="zh-CN" w:bidi="zh-CN"/>
      </w:rPr>
    </w:lvl>
    <w:lvl w:ilvl="4" w:tentative="0">
      <w:start w:val="0"/>
      <w:numFmt w:val="bullet"/>
      <w:lvlText w:val="•"/>
      <w:lvlJc w:val="left"/>
      <w:pPr>
        <w:ind w:left="5842" w:hanging="184"/>
      </w:pPr>
      <w:rPr>
        <w:rFonts w:hint="default"/>
        <w:lang w:val="zh-CN" w:eastAsia="zh-CN" w:bidi="zh-CN"/>
      </w:rPr>
    </w:lvl>
    <w:lvl w:ilvl="5" w:tentative="0">
      <w:start w:val="0"/>
      <w:numFmt w:val="bullet"/>
      <w:lvlText w:val="•"/>
      <w:lvlJc w:val="left"/>
      <w:pPr>
        <w:ind w:left="6853" w:hanging="184"/>
      </w:pPr>
      <w:rPr>
        <w:rFonts w:hint="default"/>
        <w:lang w:val="zh-CN" w:eastAsia="zh-CN" w:bidi="zh-CN"/>
      </w:rPr>
    </w:lvl>
    <w:lvl w:ilvl="6" w:tentative="0">
      <w:start w:val="0"/>
      <w:numFmt w:val="bullet"/>
      <w:lvlText w:val="•"/>
      <w:lvlJc w:val="left"/>
      <w:pPr>
        <w:ind w:left="7863" w:hanging="184"/>
      </w:pPr>
      <w:rPr>
        <w:rFonts w:hint="default"/>
        <w:lang w:val="zh-CN" w:eastAsia="zh-CN" w:bidi="zh-CN"/>
      </w:rPr>
    </w:lvl>
    <w:lvl w:ilvl="7" w:tentative="0">
      <w:start w:val="0"/>
      <w:numFmt w:val="bullet"/>
      <w:lvlText w:val="•"/>
      <w:lvlJc w:val="left"/>
      <w:pPr>
        <w:ind w:left="8874" w:hanging="184"/>
      </w:pPr>
      <w:rPr>
        <w:rFonts w:hint="default"/>
        <w:lang w:val="zh-CN" w:eastAsia="zh-CN" w:bidi="zh-CN"/>
      </w:rPr>
    </w:lvl>
    <w:lvl w:ilvl="8" w:tentative="0">
      <w:start w:val="0"/>
      <w:numFmt w:val="bullet"/>
      <w:lvlText w:val="•"/>
      <w:lvlJc w:val="left"/>
      <w:pPr>
        <w:ind w:left="9884" w:hanging="184"/>
      </w:pPr>
      <w:rPr>
        <w:rFonts w:hint="default"/>
        <w:lang w:val="zh-CN" w:eastAsia="zh-CN" w:bidi="zh-CN"/>
      </w:rPr>
    </w:lvl>
  </w:abstractNum>
  <w:abstractNum w:abstractNumId="34">
    <w:nsid w:val="DCBA6B53"/>
    <w:multiLevelType w:val="multilevel"/>
    <w:tmpl w:val="DCBA6B53"/>
    <w:lvl w:ilvl="0" w:tentative="0">
      <w:start w:val="1"/>
      <w:numFmt w:val="decimal"/>
      <w:lvlText w:val="%1."/>
      <w:lvlJc w:val="left"/>
      <w:pPr>
        <w:ind w:left="2480" w:hanging="201"/>
        <w:jc w:val="left"/>
      </w:pPr>
      <w:rPr>
        <w:rFonts w:hint="default" w:ascii="微软雅黑" w:hAnsi="微软雅黑" w:eastAsia="微软雅黑" w:cs="微软雅黑"/>
        <w:spacing w:val="-3"/>
        <w:w w:val="100"/>
        <w:sz w:val="22"/>
        <w:szCs w:val="22"/>
        <w:lang w:val="zh-CN" w:eastAsia="zh-CN" w:bidi="zh-CN"/>
      </w:rPr>
    </w:lvl>
    <w:lvl w:ilvl="1" w:tentative="0">
      <w:start w:val="0"/>
      <w:numFmt w:val="bullet"/>
      <w:lvlText w:val="•"/>
      <w:lvlJc w:val="left"/>
      <w:pPr>
        <w:ind w:left="3422" w:hanging="201"/>
      </w:pPr>
      <w:rPr>
        <w:rFonts w:hint="default"/>
        <w:lang w:val="zh-CN" w:eastAsia="zh-CN" w:bidi="zh-CN"/>
      </w:rPr>
    </w:lvl>
    <w:lvl w:ilvl="2" w:tentative="0">
      <w:start w:val="0"/>
      <w:numFmt w:val="bullet"/>
      <w:lvlText w:val="•"/>
      <w:lvlJc w:val="left"/>
      <w:pPr>
        <w:ind w:left="4365" w:hanging="201"/>
      </w:pPr>
      <w:rPr>
        <w:rFonts w:hint="default"/>
        <w:lang w:val="zh-CN" w:eastAsia="zh-CN" w:bidi="zh-CN"/>
      </w:rPr>
    </w:lvl>
    <w:lvl w:ilvl="3" w:tentative="0">
      <w:start w:val="0"/>
      <w:numFmt w:val="bullet"/>
      <w:lvlText w:val="•"/>
      <w:lvlJc w:val="left"/>
      <w:pPr>
        <w:ind w:left="5307" w:hanging="201"/>
      </w:pPr>
      <w:rPr>
        <w:rFonts w:hint="default"/>
        <w:lang w:val="zh-CN" w:eastAsia="zh-CN" w:bidi="zh-CN"/>
      </w:rPr>
    </w:lvl>
    <w:lvl w:ilvl="4" w:tentative="0">
      <w:start w:val="0"/>
      <w:numFmt w:val="bullet"/>
      <w:lvlText w:val="•"/>
      <w:lvlJc w:val="left"/>
      <w:pPr>
        <w:ind w:left="6250" w:hanging="201"/>
      </w:pPr>
      <w:rPr>
        <w:rFonts w:hint="default"/>
        <w:lang w:val="zh-CN" w:eastAsia="zh-CN" w:bidi="zh-CN"/>
      </w:rPr>
    </w:lvl>
    <w:lvl w:ilvl="5" w:tentative="0">
      <w:start w:val="0"/>
      <w:numFmt w:val="bullet"/>
      <w:lvlText w:val="•"/>
      <w:lvlJc w:val="left"/>
      <w:pPr>
        <w:ind w:left="7193" w:hanging="201"/>
      </w:pPr>
      <w:rPr>
        <w:rFonts w:hint="default"/>
        <w:lang w:val="zh-CN" w:eastAsia="zh-CN" w:bidi="zh-CN"/>
      </w:rPr>
    </w:lvl>
    <w:lvl w:ilvl="6" w:tentative="0">
      <w:start w:val="0"/>
      <w:numFmt w:val="bullet"/>
      <w:lvlText w:val="•"/>
      <w:lvlJc w:val="left"/>
      <w:pPr>
        <w:ind w:left="8135" w:hanging="201"/>
      </w:pPr>
      <w:rPr>
        <w:rFonts w:hint="default"/>
        <w:lang w:val="zh-CN" w:eastAsia="zh-CN" w:bidi="zh-CN"/>
      </w:rPr>
    </w:lvl>
    <w:lvl w:ilvl="7" w:tentative="0">
      <w:start w:val="0"/>
      <w:numFmt w:val="bullet"/>
      <w:lvlText w:val="•"/>
      <w:lvlJc w:val="left"/>
      <w:pPr>
        <w:ind w:left="9078" w:hanging="201"/>
      </w:pPr>
      <w:rPr>
        <w:rFonts w:hint="default"/>
        <w:lang w:val="zh-CN" w:eastAsia="zh-CN" w:bidi="zh-CN"/>
      </w:rPr>
    </w:lvl>
    <w:lvl w:ilvl="8" w:tentative="0">
      <w:start w:val="0"/>
      <w:numFmt w:val="bullet"/>
      <w:lvlText w:val="•"/>
      <w:lvlJc w:val="left"/>
      <w:pPr>
        <w:ind w:left="10020" w:hanging="201"/>
      </w:pPr>
      <w:rPr>
        <w:rFonts w:hint="default"/>
        <w:lang w:val="zh-CN" w:eastAsia="zh-CN" w:bidi="zh-CN"/>
      </w:rPr>
    </w:lvl>
  </w:abstractNum>
  <w:abstractNum w:abstractNumId="35">
    <w:nsid w:val="E093A4B0"/>
    <w:multiLevelType w:val="multilevel"/>
    <w:tmpl w:val="E093A4B0"/>
    <w:lvl w:ilvl="0" w:tentative="0">
      <w:start w:val="1"/>
      <w:numFmt w:val="decimal"/>
      <w:lvlText w:val="（%1）"/>
      <w:lvlJc w:val="left"/>
      <w:pPr>
        <w:ind w:left="2900" w:hanging="621"/>
        <w:jc w:val="left"/>
      </w:pPr>
      <w:rPr>
        <w:rFonts w:hint="default" w:ascii="微软雅黑" w:hAnsi="微软雅黑" w:eastAsia="微软雅黑" w:cs="微软雅黑"/>
        <w:color w:val="333333"/>
        <w:spacing w:val="-2"/>
        <w:w w:val="100"/>
        <w:sz w:val="22"/>
        <w:szCs w:val="22"/>
        <w:lang w:val="zh-CN" w:eastAsia="zh-CN" w:bidi="zh-CN"/>
      </w:rPr>
    </w:lvl>
    <w:lvl w:ilvl="1" w:tentative="0">
      <w:start w:val="0"/>
      <w:numFmt w:val="bullet"/>
      <w:lvlText w:val="•"/>
      <w:lvlJc w:val="left"/>
      <w:pPr>
        <w:ind w:left="3800" w:hanging="621"/>
      </w:pPr>
      <w:rPr>
        <w:rFonts w:hint="default"/>
        <w:lang w:val="zh-CN" w:eastAsia="zh-CN" w:bidi="zh-CN"/>
      </w:rPr>
    </w:lvl>
    <w:lvl w:ilvl="2" w:tentative="0">
      <w:start w:val="0"/>
      <w:numFmt w:val="bullet"/>
      <w:lvlText w:val="•"/>
      <w:lvlJc w:val="left"/>
      <w:pPr>
        <w:ind w:left="4701" w:hanging="621"/>
      </w:pPr>
      <w:rPr>
        <w:rFonts w:hint="default"/>
        <w:lang w:val="zh-CN" w:eastAsia="zh-CN" w:bidi="zh-CN"/>
      </w:rPr>
    </w:lvl>
    <w:lvl w:ilvl="3" w:tentative="0">
      <w:start w:val="0"/>
      <w:numFmt w:val="bullet"/>
      <w:lvlText w:val="•"/>
      <w:lvlJc w:val="left"/>
      <w:pPr>
        <w:ind w:left="5601" w:hanging="621"/>
      </w:pPr>
      <w:rPr>
        <w:rFonts w:hint="default"/>
        <w:lang w:val="zh-CN" w:eastAsia="zh-CN" w:bidi="zh-CN"/>
      </w:rPr>
    </w:lvl>
    <w:lvl w:ilvl="4" w:tentative="0">
      <w:start w:val="0"/>
      <w:numFmt w:val="bullet"/>
      <w:lvlText w:val="•"/>
      <w:lvlJc w:val="left"/>
      <w:pPr>
        <w:ind w:left="6502" w:hanging="621"/>
      </w:pPr>
      <w:rPr>
        <w:rFonts w:hint="default"/>
        <w:lang w:val="zh-CN" w:eastAsia="zh-CN" w:bidi="zh-CN"/>
      </w:rPr>
    </w:lvl>
    <w:lvl w:ilvl="5" w:tentative="0">
      <w:start w:val="0"/>
      <w:numFmt w:val="bullet"/>
      <w:lvlText w:val="•"/>
      <w:lvlJc w:val="left"/>
      <w:pPr>
        <w:ind w:left="7403" w:hanging="621"/>
      </w:pPr>
      <w:rPr>
        <w:rFonts w:hint="default"/>
        <w:lang w:val="zh-CN" w:eastAsia="zh-CN" w:bidi="zh-CN"/>
      </w:rPr>
    </w:lvl>
    <w:lvl w:ilvl="6" w:tentative="0">
      <w:start w:val="0"/>
      <w:numFmt w:val="bullet"/>
      <w:lvlText w:val="•"/>
      <w:lvlJc w:val="left"/>
      <w:pPr>
        <w:ind w:left="8303" w:hanging="621"/>
      </w:pPr>
      <w:rPr>
        <w:rFonts w:hint="default"/>
        <w:lang w:val="zh-CN" w:eastAsia="zh-CN" w:bidi="zh-CN"/>
      </w:rPr>
    </w:lvl>
    <w:lvl w:ilvl="7" w:tentative="0">
      <w:start w:val="0"/>
      <w:numFmt w:val="bullet"/>
      <w:lvlText w:val="•"/>
      <w:lvlJc w:val="left"/>
      <w:pPr>
        <w:ind w:left="9204" w:hanging="621"/>
      </w:pPr>
      <w:rPr>
        <w:rFonts w:hint="default"/>
        <w:lang w:val="zh-CN" w:eastAsia="zh-CN" w:bidi="zh-CN"/>
      </w:rPr>
    </w:lvl>
    <w:lvl w:ilvl="8" w:tentative="0">
      <w:start w:val="0"/>
      <w:numFmt w:val="bullet"/>
      <w:lvlText w:val="•"/>
      <w:lvlJc w:val="left"/>
      <w:pPr>
        <w:ind w:left="10104" w:hanging="621"/>
      </w:pPr>
      <w:rPr>
        <w:rFonts w:hint="default"/>
        <w:lang w:val="zh-CN" w:eastAsia="zh-CN" w:bidi="zh-CN"/>
      </w:rPr>
    </w:lvl>
  </w:abstractNum>
  <w:abstractNum w:abstractNumId="36">
    <w:nsid w:val="E504947C"/>
    <w:multiLevelType w:val="multilevel"/>
    <w:tmpl w:val="E504947C"/>
    <w:lvl w:ilvl="0" w:tentative="0">
      <w:start w:val="1"/>
      <w:numFmt w:val="decimal"/>
      <w:lvlText w:val="%1."/>
      <w:lvlJc w:val="left"/>
      <w:pPr>
        <w:ind w:left="1800"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2810" w:hanging="184"/>
      </w:pPr>
      <w:rPr>
        <w:rFonts w:hint="default"/>
        <w:lang w:val="zh-CN" w:eastAsia="zh-CN" w:bidi="zh-CN"/>
      </w:rPr>
    </w:lvl>
    <w:lvl w:ilvl="2" w:tentative="0">
      <w:start w:val="0"/>
      <w:numFmt w:val="bullet"/>
      <w:lvlText w:val="•"/>
      <w:lvlJc w:val="left"/>
      <w:pPr>
        <w:ind w:left="3821" w:hanging="184"/>
      </w:pPr>
      <w:rPr>
        <w:rFonts w:hint="default"/>
        <w:lang w:val="zh-CN" w:eastAsia="zh-CN" w:bidi="zh-CN"/>
      </w:rPr>
    </w:lvl>
    <w:lvl w:ilvl="3" w:tentative="0">
      <w:start w:val="0"/>
      <w:numFmt w:val="bullet"/>
      <w:lvlText w:val="•"/>
      <w:lvlJc w:val="left"/>
      <w:pPr>
        <w:ind w:left="4831" w:hanging="184"/>
      </w:pPr>
      <w:rPr>
        <w:rFonts w:hint="default"/>
        <w:lang w:val="zh-CN" w:eastAsia="zh-CN" w:bidi="zh-CN"/>
      </w:rPr>
    </w:lvl>
    <w:lvl w:ilvl="4" w:tentative="0">
      <w:start w:val="0"/>
      <w:numFmt w:val="bullet"/>
      <w:lvlText w:val="•"/>
      <w:lvlJc w:val="left"/>
      <w:pPr>
        <w:ind w:left="5842" w:hanging="184"/>
      </w:pPr>
      <w:rPr>
        <w:rFonts w:hint="default"/>
        <w:lang w:val="zh-CN" w:eastAsia="zh-CN" w:bidi="zh-CN"/>
      </w:rPr>
    </w:lvl>
    <w:lvl w:ilvl="5" w:tentative="0">
      <w:start w:val="0"/>
      <w:numFmt w:val="bullet"/>
      <w:lvlText w:val="•"/>
      <w:lvlJc w:val="left"/>
      <w:pPr>
        <w:ind w:left="6853" w:hanging="184"/>
      </w:pPr>
      <w:rPr>
        <w:rFonts w:hint="default"/>
        <w:lang w:val="zh-CN" w:eastAsia="zh-CN" w:bidi="zh-CN"/>
      </w:rPr>
    </w:lvl>
    <w:lvl w:ilvl="6" w:tentative="0">
      <w:start w:val="0"/>
      <w:numFmt w:val="bullet"/>
      <w:lvlText w:val="•"/>
      <w:lvlJc w:val="left"/>
      <w:pPr>
        <w:ind w:left="7863" w:hanging="184"/>
      </w:pPr>
      <w:rPr>
        <w:rFonts w:hint="default"/>
        <w:lang w:val="zh-CN" w:eastAsia="zh-CN" w:bidi="zh-CN"/>
      </w:rPr>
    </w:lvl>
    <w:lvl w:ilvl="7" w:tentative="0">
      <w:start w:val="0"/>
      <w:numFmt w:val="bullet"/>
      <w:lvlText w:val="•"/>
      <w:lvlJc w:val="left"/>
      <w:pPr>
        <w:ind w:left="8874" w:hanging="184"/>
      </w:pPr>
      <w:rPr>
        <w:rFonts w:hint="default"/>
        <w:lang w:val="zh-CN" w:eastAsia="zh-CN" w:bidi="zh-CN"/>
      </w:rPr>
    </w:lvl>
    <w:lvl w:ilvl="8" w:tentative="0">
      <w:start w:val="0"/>
      <w:numFmt w:val="bullet"/>
      <w:lvlText w:val="•"/>
      <w:lvlJc w:val="left"/>
      <w:pPr>
        <w:ind w:left="9884" w:hanging="184"/>
      </w:pPr>
      <w:rPr>
        <w:rFonts w:hint="default"/>
        <w:lang w:val="zh-CN" w:eastAsia="zh-CN" w:bidi="zh-CN"/>
      </w:rPr>
    </w:lvl>
  </w:abstractNum>
  <w:abstractNum w:abstractNumId="37">
    <w:nsid w:val="E7B27C5B"/>
    <w:multiLevelType w:val="multilevel"/>
    <w:tmpl w:val="E7B27C5B"/>
    <w:lvl w:ilvl="0" w:tentative="0">
      <w:start w:val="1"/>
      <w:numFmt w:val="decimal"/>
      <w:lvlText w:val="%1."/>
      <w:lvlJc w:val="left"/>
      <w:pPr>
        <w:ind w:left="1800"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2810" w:hanging="184"/>
      </w:pPr>
      <w:rPr>
        <w:rFonts w:hint="default"/>
        <w:lang w:val="zh-CN" w:eastAsia="zh-CN" w:bidi="zh-CN"/>
      </w:rPr>
    </w:lvl>
    <w:lvl w:ilvl="2" w:tentative="0">
      <w:start w:val="0"/>
      <w:numFmt w:val="bullet"/>
      <w:lvlText w:val="•"/>
      <w:lvlJc w:val="left"/>
      <w:pPr>
        <w:ind w:left="3821" w:hanging="184"/>
      </w:pPr>
      <w:rPr>
        <w:rFonts w:hint="default"/>
        <w:lang w:val="zh-CN" w:eastAsia="zh-CN" w:bidi="zh-CN"/>
      </w:rPr>
    </w:lvl>
    <w:lvl w:ilvl="3" w:tentative="0">
      <w:start w:val="0"/>
      <w:numFmt w:val="bullet"/>
      <w:lvlText w:val="•"/>
      <w:lvlJc w:val="left"/>
      <w:pPr>
        <w:ind w:left="4831" w:hanging="184"/>
      </w:pPr>
      <w:rPr>
        <w:rFonts w:hint="default"/>
        <w:lang w:val="zh-CN" w:eastAsia="zh-CN" w:bidi="zh-CN"/>
      </w:rPr>
    </w:lvl>
    <w:lvl w:ilvl="4" w:tentative="0">
      <w:start w:val="0"/>
      <w:numFmt w:val="bullet"/>
      <w:lvlText w:val="•"/>
      <w:lvlJc w:val="left"/>
      <w:pPr>
        <w:ind w:left="5842" w:hanging="184"/>
      </w:pPr>
      <w:rPr>
        <w:rFonts w:hint="default"/>
        <w:lang w:val="zh-CN" w:eastAsia="zh-CN" w:bidi="zh-CN"/>
      </w:rPr>
    </w:lvl>
    <w:lvl w:ilvl="5" w:tentative="0">
      <w:start w:val="0"/>
      <w:numFmt w:val="bullet"/>
      <w:lvlText w:val="•"/>
      <w:lvlJc w:val="left"/>
      <w:pPr>
        <w:ind w:left="6853" w:hanging="184"/>
      </w:pPr>
      <w:rPr>
        <w:rFonts w:hint="default"/>
        <w:lang w:val="zh-CN" w:eastAsia="zh-CN" w:bidi="zh-CN"/>
      </w:rPr>
    </w:lvl>
    <w:lvl w:ilvl="6" w:tentative="0">
      <w:start w:val="0"/>
      <w:numFmt w:val="bullet"/>
      <w:lvlText w:val="•"/>
      <w:lvlJc w:val="left"/>
      <w:pPr>
        <w:ind w:left="7863" w:hanging="184"/>
      </w:pPr>
      <w:rPr>
        <w:rFonts w:hint="default"/>
        <w:lang w:val="zh-CN" w:eastAsia="zh-CN" w:bidi="zh-CN"/>
      </w:rPr>
    </w:lvl>
    <w:lvl w:ilvl="7" w:tentative="0">
      <w:start w:val="0"/>
      <w:numFmt w:val="bullet"/>
      <w:lvlText w:val="•"/>
      <w:lvlJc w:val="left"/>
      <w:pPr>
        <w:ind w:left="8874" w:hanging="184"/>
      </w:pPr>
      <w:rPr>
        <w:rFonts w:hint="default"/>
        <w:lang w:val="zh-CN" w:eastAsia="zh-CN" w:bidi="zh-CN"/>
      </w:rPr>
    </w:lvl>
    <w:lvl w:ilvl="8" w:tentative="0">
      <w:start w:val="0"/>
      <w:numFmt w:val="bullet"/>
      <w:lvlText w:val="•"/>
      <w:lvlJc w:val="left"/>
      <w:pPr>
        <w:ind w:left="9884" w:hanging="184"/>
      </w:pPr>
      <w:rPr>
        <w:rFonts w:hint="default"/>
        <w:lang w:val="zh-CN" w:eastAsia="zh-CN" w:bidi="zh-CN"/>
      </w:rPr>
    </w:lvl>
  </w:abstractNum>
  <w:abstractNum w:abstractNumId="38">
    <w:nsid w:val="F0E89278"/>
    <w:multiLevelType w:val="multilevel"/>
    <w:tmpl w:val="F0E89278"/>
    <w:lvl w:ilvl="0" w:tentative="0">
      <w:start w:val="1"/>
      <w:numFmt w:val="decimal"/>
      <w:lvlText w:val="%1."/>
      <w:lvlJc w:val="left"/>
      <w:pPr>
        <w:ind w:left="1800"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2810" w:hanging="184"/>
      </w:pPr>
      <w:rPr>
        <w:rFonts w:hint="default"/>
        <w:lang w:val="zh-CN" w:eastAsia="zh-CN" w:bidi="zh-CN"/>
      </w:rPr>
    </w:lvl>
    <w:lvl w:ilvl="2" w:tentative="0">
      <w:start w:val="0"/>
      <w:numFmt w:val="bullet"/>
      <w:lvlText w:val="•"/>
      <w:lvlJc w:val="left"/>
      <w:pPr>
        <w:ind w:left="3821" w:hanging="184"/>
      </w:pPr>
      <w:rPr>
        <w:rFonts w:hint="default"/>
        <w:lang w:val="zh-CN" w:eastAsia="zh-CN" w:bidi="zh-CN"/>
      </w:rPr>
    </w:lvl>
    <w:lvl w:ilvl="3" w:tentative="0">
      <w:start w:val="0"/>
      <w:numFmt w:val="bullet"/>
      <w:lvlText w:val="•"/>
      <w:lvlJc w:val="left"/>
      <w:pPr>
        <w:ind w:left="4831" w:hanging="184"/>
      </w:pPr>
      <w:rPr>
        <w:rFonts w:hint="default"/>
        <w:lang w:val="zh-CN" w:eastAsia="zh-CN" w:bidi="zh-CN"/>
      </w:rPr>
    </w:lvl>
    <w:lvl w:ilvl="4" w:tentative="0">
      <w:start w:val="0"/>
      <w:numFmt w:val="bullet"/>
      <w:lvlText w:val="•"/>
      <w:lvlJc w:val="left"/>
      <w:pPr>
        <w:ind w:left="5842" w:hanging="184"/>
      </w:pPr>
      <w:rPr>
        <w:rFonts w:hint="default"/>
        <w:lang w:val="zh-CN" w:eastAsia="zh-CN" w:bidi="zh-CN"/>
      </w:rPr>
    </w:lvl>
    <w:lvl w:ilvl="5" w:tentative="0">
      <w:start w:val="0"/>
      <w:numFmt w:val="bullet"/>
      <w:lvlText w:val="•"/>
      <w:lvlJc w:val="left"/>
      <w:pPr>
        <w:ind w:left="6853" w:hanging="184"/>
      </w:pPr>
      <w:rPr>
        <w:rFonts w:hint="default"/>
        <w:lang w:val="zh-CN" w:eastAsia="zh-CN" w:bidi="zh-CN"/>
      </w:rPr>
    </w:lvl>
    <w:lvl w:ilvl="6" w:tentative="0">
      <w:start w:val="0"/>
      <w:numFmt w:val="bullet"/>
      <w:lvlText w:val="•"/>
      <w:lvlJc w:val="left"/>
      <w:pPr>
        <w:ind w:left="7863" w:hanging="184"/>
      </w:pPr>
      <w:rPr>
        <w:rFonts w:hint="default"/>
        <w:lang w:val="zh-CN" w:eastAsia="zh-CN" w:bidi="zh-CN"/>
      </w:rPr>
    </w:lvl>
    <w:lvl w:ilvl="7" w:tentative="0">
      <w:start w:val="0"/>
      <w:numFmt w:val="bullet"/>
      <w:lvlText w:val="•"/>
      <w:lvlJc w:val="left"/>
      <w:pPr>
        <w:ind w:left="8874" w:hanging="184"/>
      </w:pPr>
      <w:rPr>
        <w:rFonts w:hint="default"/>
        <w:lang w:val="zh-CN" w:eastAsia="zh-CN" w:bidi="zh-CN"/>
      </w:rPr>
    </w:lvl>
    <w:lvl w:ilvl="8" w:tentative="0">
      <w:start w:val="0"/>
      <w:numFmt w:val="bullet"/>
      <w:lvlText w:val="•"/>
      <w:lvlJc w:val="left"/>
      <w:pPr>
        <w:ind w:left="9884" w:hanging="184"/>
      </w:pPr>
      <w:rPr>
        <w:rFonts w:hint="default"/>
        <w:lang w:val="zh-CN" w:eastAsia="zh-CN" w:bidi="zh-CN"/>
      </w:rPr>
    </w:lvl>
  </w:abstractNum>
  <w:abstractNum w:abstractNumId="39">
    <w:nsid w:val="F4B5D9F5"/>
    <w:multiLevelType w:val="multilevel"/>
    <w:tmpl w:val="F4B5D9F5"/>
    <w:lvl w:ilvl="0" w:tentative="0">
      <w:start w:val="1"/>
      <w:numFmt w:val="decimal"/>
      <w:lvlText w:val="%1."/>
      <w:lvlJc w:val="left"/>
      <w:pPr>
        <w:ind w:left="2480" w:hanging="201"/>
        <w:jc w:val="left"/>
      </w:pPr>
      <w:rPr>
        <w:rFonts w:hint="default" w:ascii="微软雅黑" w:hAnsi="微软雅黑" w:eastAsia="微软雅黑" w:cs="微软雅黑"/>
        <w:spacing w:val="-3"/>
        <w:w w:val="100"/>
        <w:sz w:val="22"/>
        <w:szCs w:val="22"/>
        <w:lang w:val="zh-CN" w:eastAsia="zh-CN" w:bidi="zh-CN"/>
      </w:rPr>
    </w:lvl>
    <w:lvl w:ilvl="1" w:tentative="0">
      <w:start w:val="0"/>
      <w:numFmt w:val="bullet"/>
      <w:lvlText w:val="•"/>
      <w:lvlJc w:val="left"/>
      <w:pPr>
        <w:ind w:left="3422" w:hanging="201"/>
      </w:pPr>
      <w:rPr>
        <w:rFonts w:hint="default"/>
        <w:lang w:val="zh-CN" w:eastAsia="zh-CN" w:bidi="zh-CN"/>
      </w:rPr>
    </w:lvl>
    <w:lvl w:ilvl="2" w:tentative="0">
      <w:start w:val="0"/>
      <w:numFmt w:val="bullet"/>
      <w:lvlText w:val="•"/>
      <w:lvlJc w:val="left"/>
      <w:pPr>
        <w:ind w:left="4365" w:hanging="201"/>
      </w:pPr>
      <w:rPr>
        <w:rFonts w:hint="default"/>
        <w:lang w:val="zh-CN" w:eastAsia="zh-CN" w:bidi="zh-CN"/>
      </w:rPr>
    </w:lvl>
    <w:lvl w:ilvl="3" w:tentative="0">
      <w:start w:val="0"/>
      <w:numFmt w:val="bullet"/>
      <w:lvlText w:val="•"/>
      <w:lvlJc w:val="left"/>
      <w:pPr>
        <w:ind w:left="5307" w:hanging="201"/>
      </w:pPr>
      <w:rPr>
        <w:rFonts w:hint="default"/>
        <w:lang w:val="zh-CN" w:eastAsia="zh-CN" w:bidi="zh-CN"/>
      </w:rPr>
    </w:lvl>
    <w:lvl w:ilvl="4" w:tentative="0">
      <w:start w:val="0"/>
      <w:numFmt w:val="bullet"/>
      <w:lvlText w:val="•"/>
      <w:lvlJc w:val="left"/>
      <w:pPr>
        <w:ind w:left="6250" w:hanging="201"/>
      </w:pPr>
      <w:rPr>
        <w:rFonts w:hint="default"/>
        <w:lang w:val="zh-CN" w:eastAsia="zh-CN" w:bidi="zh-CN"/>
      </w:rPr>
    </w:lvl>
    <w:lvl w:ilvl="5" w:tentative="0">
      <w:start w:val="0"/>
      <w:numFmt w:val="bullet"/>
      <w:lvlText w:val="•"/>
      <w:lvlJc w:val="left"/>
      <w:pPr>
        <w:ind w:left="7193" w:hanging="201"/>
      </w:pPr>
      <w:rPr>
        <w:rFonts w:hint="default"/>
        <w:lang w:val="zh-CN" w:eastAsia="zh-CN" w:bidi="zh-CN"/>
      </w:rPr>
    </w:lvl>
    <w:lvl w:ilvl="6" w:tentative="0">
      <w:start w:val="0"/>
      <w:numFmt w:val="bullet"/>
      <w:lvlText w:val="•"/>
      <w:lvlJc w:val="left"/>
      <w:pPr>
        <w:ind w:left="8135" w:hanging="201"/>
      </w:pPr>
      <w:rPr>
        <w:rFonts w:hint="default"/>
        <w:lang w:val="zh-CN" w:eastAsia="zh-CN" w:bidi="zh-CN"/>
      </w:rPr>
    </w:lvl>
    <w:lvl w:ilvl="7" w:tentative="0">
      <w:start w:val="0"/>
      <w:numFmt w:val="bullet"/>
      <w:lvlText w:val="•"/>
      <w:lvlJc w:val="left"/>
      <w:pPr>
        <w:ind w:left="9078" w:hanging="201"/>
      </w:pPr>
      <w:rPr>
        <w:rFonts w:hint="default"/>
        <w:lang w:val="zh-CN" w:eastAsia="zh-CN" w:bidi="zh-CN"/>
      </w:rPr>
    </w:lvl>
    <w:lvl w:ilvl="8" w:tentative="0">
      <w:start w:val="0"/>
      <w:numFmt w:val="bullet"/>
      <w:lvlText w:val="•"/>
      <w:lvlJc w:val="left"/>
      <w:pPr>
        <w:ind w:left="10020" w:hanging="201"/>
      </w:pPr>
      <w:rPr>
        <w:rFonts w:hint="default"/>
        <w:lang w:val="zh-CN" w:eastAsia="zh-CN" w:bidi="zh-CN"/>
      </w:rPr>
    </w:lvl>
  </w:abstractNum>
  <w:abstractNum w:abstractNumId="40">
    <w:nsid w:val="F689643B"/>
    <w:multiLevelType w:val="multilevel"/>
    <w:tmpl w:val="F689643B"/>
    <w:lvl w:ilvl="0" w:tentative="0">
      <w:start w:val="1"/>
      <w:numFmt w:val="decimal"/>
      <w:lvlText w:val="%1."/>
      <w:lvlJc w:val="left"/>
      <w:pPr>
        <w:ind w:left="1800"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2810" w:hanging="184"/>
      </w:pPr>
      <w:rPr>
        <w:rFonts w:hint="default"/>
        <w:lang w:val="zh-CN" w:eastAsia="zh-CN" w:bidi="zh-CN"/>
      </w:rPr>
    </w:lvl>
    <w:lvl w:ilvl="2" w:tentative="0">
      <w:start w:val="0"/>
      <w:numFmt w:val="bullet"/>
      <w:lvlText w:val="•"/>
      <w:lvlJc w:val="left"/>
      <w:pPr>
        <w:ind w:left="3821" w:hanging="184"/>
      </w:pPr>
      <w:rPr>
        <w:rFonts w:hint="default"/>
        <w:lang w:val="zh-CN" w:eastAsia="zh-CN" w:bidi="zh-CN"/>
      </w:rPr>
    </w:lvl>
    <w:lvl w:ilvl="3" w:tentative="0">
      <w:start w:val="0"/>
      <w:numFmt w:val="bullet"/>
      <w:lvlText w:val="•"/>
      <w:lvlJc w:val="left"/>
      <w:pPr>
        <w:ind w:left="4831" w:hanging="184"/>
      </w:pPr>
      <w:rPr>
        <w:rFonts w:hint="default"/>
        <w:lang w:val="zh-CN" w:eastAsia="zh-CN" w:bidi="zh-CN"/>
      </w:rPr>
    </w:lvl>
    <w:lvl w:ilvl="4" w:tentative="0">
      <w:start w:val="0"/>
      <w:numFmt w:val="bullet"/>
      <w:lvlText w:val="•"/>
      <w:lvlJc w:val="left"/>
      <w:pPr>
        <w:ind w:left="5842" w:hanging="184"/>
      </w:pPr>
      <w:rPr>
        <w:rFonts w:hint="default"/>
        <w:lang w:val="zh-CN" w:eastAsia="zh-CN" w:bidi="zh-CN"/>
      </w:rPr>
    </w:lvl>
    <w:lvl w:ilvl="5" w:tentative="0">
      <w:start w:val="0"/>
      <w:numFmt w:val="bullet"/>
      <w:lvlText w:val="•"/>
      <w:lvlJc w:val="left"/>
      <w:pPr>
        <w:ind w:left="6853" w:hanging="184"/>
      </w:pPr>
      <w:rPr>
        <w:rFonts w:hint="default"/>
        <w:lang w:val="zh-CN" w:eastAsia="zh-CN" w:bidi="zh-CN"/>
      </w:rPr>
    </w:lvl>
    <w:lvl w:ilvl="6" w:tentative="0">
      <w:start w:val="0"/>
      <w:numFmt w:val="bullet"/>
      <w:lvlText w:val="•"/>
      <w:lvlJc w:val="left"/>
      <w:pPr>
        <w:ind w:left="7863" w:hanging="184"/>
      </w:pPr>
      <w:rPr>
        <w:rFonts w:hint="default"/>
        <w:lang w:val="zh-CN" w:eastAsia="zh-CN" w:bidi="zh-CN"/>
      </w:rPr>
    </w:lvl>
    <w:lvl w:ilvl="7" w:tentative="0">
      <w:start w:val="0"/>
      <w:numFmt w:val="bullet"/>
      <w:lvlText w:val="•"/>
      <w:lvlJc w:val="left"/>
      <w:pPr>
        <w:ind w:left="8874" w:hanging="184"/>
      </w:pPr>
      <w:rPr>
        <w:rFonts w:hint="default"/>
        <w:lang w:val="zh-CN" w:eastAsia="zh-CN" w:bidi="zh-CN"/>
      </w:rPr>
    </w:lvl>
    <w:lvl w:ilvl="8" w:tentative="0">
      <w:start w:val="0"/>
      <w:numFmt w:val="bullet"/>
      <w:lvlText w:val="•"/>
      <w:lvlJc w:val="left"/>
      <w:pPr>
        <w:ind w:left="9884" w:hanging="184"/>
      </w:pPr>
      <w:rPr>
        <w:rFonts w:hint="default"/>
        <w:lang w:val="zh-CN" w:eastAsia="zh-CN" w:bidi="zh-CN"/>
      </w:rPr>
    </w:lvl>
  </w:abstractNum>
  <w:abstractNum w:abstractNumId="41">
    <w:nsid w:val="F7735DC9"/>
    <w:multiLevelType w:val="multilevel"/>
    <w:tmpl w:val="F7735DC9"/>
    <w:lvl w:ilvl="0" w:tentative="0">
      <w:start w:val="1"/>
      <w:numFmt w:val="decimal"/>
      <w:lvlText w:val="（%1）"/>
      <w:lvlJc w:val="left"/>
      <w:pPr>
        <w:ind w:left="2900" w:hanging="621"/>
        <w:jc w:val="left"/>
      </w:pPr>
      <w:rPr>
        <w:rFonts w:hint="default" w:ascii="微软雅黑" w:hAnsi="微软雅黑" w:eastAsia="微软雅黑" w:cs="微软雅黑"/>
        <w:color w:val="333333"/>
        <w:spacing w:val="-2"/>
        <w:w w:val="100"/>
        <w:sz w:val="22"/>
        <w:szCs w:val="22"/>
        <w:lang w:val="zh-CN" w:eastAsia="zh-CN" w:bidi="zh-CN"/>
      </w:rPr>
    </w:lvl>
    <w:lvl w:ilvl="1" w:tentative="0">
      <w:start w:val="0"/>
      <w:numFmt w:val="bullet"/>
      <w:lvlText w:val="•"/>
      <w:lvlJc w:val="left"/>
      <w:pPr>
        <w:ind w:left="3800" w:hanging="621"/>
      </w:pPr>
      <w:rPr>
        <w:rFonts w:hint="default"/>
        <w:lang w:val="zh-CN" w:eastAsia="zh-CN" w:bidi="zh-CN"/>
      </w:rPr>
    </w:lvl>
    <w:lvl w:ilvl="2" w:tentative="0">
      <w:start w:val="0"/>
      <w:numFmt w:val="bullet"/>
      <w:lvlText w:val="•"/>
      <w:lvlJc w:val="left"/>
      <w:pPr>
        <w:ind w:left="4701" w:hanging="621"/>
      </w:pPr>
      <w:rPr>
        <w:rFonts w:hint="default"/>
        <w:lang w:val="zh-CN" w:eastAsia="zh-CN" w:bidi="zh-CN"/>
      </w:rPr>
    </w:lvl>
    <w:lvl w:ilvl="3" w:tentative="0">
      <w:start w:val="0"/>
      <w:numFmt w:val="bullet"/>
      <w:lvlText w:val="•"/>
      <w:lvlJc w:val="left"/>
      <w:pPr>
        <w:ind w:left="5601" w:hanging="621"/>
      </w:pPr>
      <w:rPr>
        <w:rFonts w:hint="default"/>
        <w:lang w:val="zh-CN" w:eastAsia="zh-CN" w:bidi="zh-CN"/>
      </w:rPr>
    </w:lvl>
    <w:lvl w:ilvl="4" w:tentative="0">
      <w:start w:val="0"/>
      <w:numFmt w:val="bullet"/>
      <w:lvlText w:val="•"/>
      <w:lvlJc w:val="left"/>
      <w:pPr>
        <w:ind w:left="6502" w:hanging="621"/>
      </w:pPr>
      <w:rPr>
        <w:rFonts w:hint="default"/>
        <w:lang w:val="zh-CN" w:eastAsia="zh-CN" w:bidi="zh-CN"/>
      </w:rPr>
    </w:lvl>
    <w:lvl w:ilvl="5" w:tentative="0">
      <w:start w:val="0"/>
      <w:numFmt w:val="bullet"/>
      <w:lvlText w:val="•"/>
      <w:lvlJc w:val="left"/>
      <w:pPr>
        <w:ind w:left="7403" w:hanging="621"/>
      </w:pPr>
      <w:rPr>
        <w:rFonts w:hint="default"/>
        <w:lang w:val="zh-CN" w:eastAsia="zh-CN" w:bidi="zh-CN"/>
      </w:rPr>
    </w:lvl>
    <w:lvl w:ilvl="6" w:tentative="0">
      <w:start w:val="0"/>
      <w:numFmt w:val="bullet"/>
      <w:lvlText w:val="•"/>
      <w:lvlJc w:val="left"/>
      <w:pPr>
        <w:ind w:left="8303" w:hanging="621"/>
      </w:pPr>
      <w:rPr>
        <w:rFonts w:hint="default"/>
        <w:lang w:val="zh-CN" w:eastAsia="zh-CN" w:bidi="zh-CN"/>
      </w:rPr>
    </w:lvl>
    <w:lvl w:ilvl="7" w:tentative="0">
      <w:start w:val="0"/>
      <w:numFmt w:val="bullet"/>
      <w:lvlText w:val="•"/>
      <w:lvlJc w:val="left"/>
      <w:pPr>
        <w:ind w:left="9204" w:hanging="621"/>
      </w:pPr>
      <w:rPr>
        <w:rFonts w:hint="default"/>
        <w:lang w:val="zh-CN" w:eastAsia="zh-CN" w:bidi="zh-CN"/>
      </w:rPr>
    </w:lvl>
    <w:lvl w:ilvl="8" w:tentative="0">
      <w:start w:val="0"/>
      <w:numFmt w:val="bullet"/>
      <w:lvlText w:val="•"/>
      <w:lvlJc w:val="left"/>
      <w:pPr>
        <w:ind w:left="10104" w:hanging="621"/>
      </w:pPr>
      <w:rPr>
        <w:rFonts w:hint="default"/>
        <w:lang w:val="zh-CN" w:eastAsia="zh-CN" w:bidi="zh-CN"/>
      </w:rPr>
    </w:lvl>
  </w:abstractNum>
  <w:abstractNum w:abstractNumId="42">
    <w:nsid w:val="FEC2EA36"/>
    <w:multiLevelType w:val="multilevel"/>
    <w:tmpl w:val="FEC2EA36"/>
    <w:lvl w:ilvl="0" w:tentative="0">
      <w:start w:val="1"/>
      <w:numFmt w:val="decimal"/>
      <w:lvlText w:val="%1."/>
      <w:lvlJc w:val="left"/>
      <w:pPr>
        <w:ind w:left="1800" w:hanging="184"/>
        <w:jc w:val="left"/>
      </w:pPr>
      <w:rPr>
        <w:rFonts w:hint="default" w:ascii="Calibri" w:hAnsi="Calibri" w:eastAsia="Calibri" w:cs="Calibri"/>
        <w:spacing w:val="-1"/>
        <w:w w:val="100"/>
        <w:sz w:val="22"/>
        <w:szCs w:val="22"/>
        <w:lang w:val="zh-CN" w:eastAsia="zh-CN" w:bidi="zh-CN"/>
      </w:rPr>
    </w:lvl>
    <w:lvl w:ilvl="1" w:tentative="0">
      <w:start w:val="1"/>
      <w:numFmt w:val="decimal"/>
      <w:lvlText w:val="%2."/>
      <w:lvlJc w:val="left"/>
      <w:pPr>
        <w:ind w:left="1800" w:hanging="226"/>
        <w:jc w:val="left"/>
      </w:pPr>
      <w:rPr>
        <w:rFonts w:hint="default" w:ascii="微软雅黑" w:hAnsi="微软雅黑" w:eastAsia="微软雅黑" w:cs="微软雅黑"/>
        <w:color w:val="333333"/>
        <w:w w:val="100"/>
        <w:sz w:val="24"/>
        <w:szCs w:val="24"/>
        <w:lang w:val="zh-CN" w:eastAsia="zh-CN" w:bidi="zh-CN"/>
      </w:rPr>
    </w:lvl>
    <w:lvl w:ilvl="2" w:tentative="0">
      <w:start w:val="0"/>
      <w:numFmt w:val="bullet"/>
      <w:lvlText w:val="•"/>
      <w:lvlJc w:val="left"/>
      <w:pPr>
        <w:ind w:left="3821" w:hanging="226"/>
      </w:pPr>
      <w:rPr>
        <w:rFonts w:hint="default"/>
        <w:lang w:val="zh-CN" w:eastAsia="zh-CN" w:bidi="zh-CN"/>
      </w:rPr>
    </w:lvl>
    <w:lvl w:ilvl="3" w:tentative="0">
      <w:start w:val="0"/>
      <w:numFmt w:val="bullet"/>
      <w:lvlText w:val="•"/>
      <w:lvlJc w:val="left"/>
      <w:pPr>
        <w:ind w:left="4831" w:hanging="226"/>
      </w:pPr>
      <w:rPr>
        <w:rFonts w:hint="default"/>
        <w:lang w:val="zh-CN" w:eastAsia="zh-CN" w:bidi="zh-CN"/>
      </w:rPr>
    </w:lvl>
    <w:lvl w:ilvl="4" w:tentative="0">
      <w:start w:val="0"/>
      <w:numFmt w:val="bullet"/>
      <w:lvlText w:val="•"/>
      <w:lvlJc w:val="left"/>
      <w:pPr>
        <w:ind w:left="5842" w:hanging="226"/>
      </w:pPr>
      <w:rPr>
        <w:rFonts w:hint="default"/>
        <w:lang w:val="zh-CN" w:eastAsia="zh-CN" w:bidi="zh-CN"/>
      </w:rPr>
    </w:lvl>
    <w:lvl w:ilvl="5" w:tentative="0">
      <w:start w:val="0"/>
      <w:numFmt w:val="bullet"/>
      <w:lvlText w:val="•"/>
      <w:lvlJc w:val="left"/>
      <w:pPr>
        <w:ind w:left="6853" w:hanging="226"/>
      </w:pPr>
      <w:rPr>
        <w:rFonts w:hint="default"/>
        <w:lang w:val="zh-CN" w:eastAsia="zh-CN" w:bidi="zh-CN"/>
      </w:rPr>
    </w:lvl>
    <w:lvl w:ilvl="6" w:tentative="0">
      <w:start w:val="0"/>
      <w:numFmt w:val="bullet"/>
      <w:lvlText w:val="•"/>
      <w:lvlJc w:val="left"/>
      <w:pPr>
        <w:ind w:left="7863" w:hanging="226"/>
      </w:pPr>
      <w:rPr>
        <w:rFonts w:hint="default"/>
        <w:lang w:val="zh-CN" w:eastAsia="zh-CN" w:bidi="zh-CN"/>
      </w:rPr>
    </w:lvl>
    <w:lvl w:ilvl="7" w:tentative="0">
      <w:start w:val="0"/>
      <w:numFmt w:val="bullet"/>
      <w:lvlText w:val="•"/>
      <w:lvlJc w:val="left"/>
      <w:pPr>
        <w:ind w:left="8874" w:hanging="226"/>
      </w:pPr>
      <w:rPr>
        <w:rFonts w:hint="default"/>
        <w:lang w:val="zh-CN" w:eastAsia="zh-CN" w:bidi="zh-CN"/>
      </w:rPr>
    </w:lvl>
    <w:lvl w:ilvl="8" w:tentative="0">
      <w:start w:val="0"/>
      <w:numFmt w:val="bullet"/>
      <w:lvlText w:val="•"/>
      <w:lvlJc w:val="left"/>
      <w:pPr>
        <w:ind w:left="9884" w:hanging="226"/>
      </w:pPr>
      <w:rPr>
        <w:rFonts w:hint="default"/>
        <w:lang w:val="zh-CN" w:eastAsia="zh-CN" w:bidi="zh-CN"/>
      </w:rPr>
    </w:lvl>
  </w:abstractNum>
  <w:abstractNum w:abstractNumId="43">
    <w:nsid w:val="0053208E"/>
    <w:multiLevelType w:val="multilevel"/>
    <w:tmpl w:val="0053208E"/>
    <w:lvl w:ilvl="0" w:tentative="0">
      <w:start w:val="1"/>
      <w:numFmt w:val="decimal"/>
      <w:lvlText w:val="%1."/>
      <w:lvlJc w:val="left"/>
      <w:pPr>
        <w:ind w:left="1800" w:hanging="201"/>
        <w:jc w:val="left"/>
      </w:pPr>
      <w:rPr>
        <w:rFonts w:hint="default" w:ascii="微软雅黑" w:hAnsi="微软雅黑" w:eastAsia="微软雅黑" w:cs="微软雅黑"/>
        <w:color w:val="333333"/>
        <w:spacing w:val="-3"/>
        <w:w w:val="100"/>
        <w:sz w:val="22"/>
        <w:szCs w:val="22"/>
        <w:lang w:val="zh-CN" w:eastAsia="zh-CN" w:bidi="zh-CN"/>
      </w:rPr>
    </w:lvl>
    <w:lvl w:ilvl="1" w:tentative="0">
      <w:start w:val="0"/>
      <w:numFmt w:val="bullet"/>
      <w:lvlText w:val="•"/>
      <w:lvlJc w:val="left"/>
      <w:pPr>
        <w:ind w:left="2810" w:hanging="201"/>
      </w:pPr>
      <w:rPr>
        <w:rFonts w:hint="default"/>
        <w:lang w:val="zh-CN" w:eastAsia="zh-CN" w:bidi="zh-CN"/>
      </w:rPr>
    </w:lvl>
    <w:lvl w:ilvl="2" w:tentative="0">
      <w:start w:val="0"/>
      <w:numFmt w:val="bullet"/>
      <w:lvlText w:val="•"/>
      <w:lvlJc w:val="left"/>
      <w:pPr>
        <w:ind w:left="3821" w:hanging="201"/>
      </w:pPr>
      <w:rPr>
        <w:rFonts w:hint="default"/>
        <w:lang w:val="zh-CN" w:eastAsia="zh-CN" w:bidi="zh-CN"/>
      </w:rPr>
    </w:lvl>
    <w:lvl w:ilvl="3" w:tentative="0">
      <w:start w:val="0"/>
      <w:numFmt w:val="bullet"/>
      <w:lvlText w:val="•"/>
      <w:lvlJc w:val="left"/>
      <w:pPr>
        <w:ind w:left="4831" w:hanging="201"/>
      </w:pPr>
      <w:rPr>
        <w:rFonts w:hint="default"/>
        <w:lang w:val="zh-CN" w:eastAsia="zh-CN" w:bidi="zh-CN"/>
      </w:rPr>
    </w:lvl>
    <w:lvl w:ilvl="4" w:tentative="0">
      <w:start w:val="0"/>
      <w:numFmt w:val="bullet"/>
      <w:lvlText w:val="•"/>
      <w:lvlJc w:val="left"/>
      <w:pPr>
        <w:ind w:left="5842" w:hanging="201"/>
      </w:pPr>
      <w:rPr>
        <w:rFonts w:hint="default"/>
        <w:lang w:val="zh-CN" w:eastAsia="zh-CN" w:bidi="zh-CN"/>
      </w:rPr>
    </w:lvl>
    <w:lvl w:ilvl="5" w:tentative="0">
      <w:start w:val="0"/>
      <w:numFmt w:val="bullet"/>
      <w:lvlText w:val="•"/>
      <w:lvlJc w:val="left"/>
      <w:pPr>
        <w:ind w:left="6853" w:hanging="201"/>
      </w:pPr>
      <w:rPr>
        <w:rFonts w:hint="default"/>
        <w:lang w:val="zh-CN" w:eastAsia="zh-CN" w:bidi="zh-CN"/>
      </w:rPr>
    </w:lvl>
    <w:lvl w:ilvl="6" w:tentative="0">
      <w:start w:val="0"/>
      <w:numFmt w:val="bullet"/>
      <w:lvlText w:val="•"/>
      <w:lvlJc w:val="left"/>
      <w:pPr>
        <w:ind w:left="7863" w:hanging="201"/>
      </w:pPr>
      <w:rPr>
        <w:rFonts w:hint="default"/>
        <w:lang w:val="zh-CN" w:eastAsia="zh-CN" w:bidi="zh-CN"/>
      </w:rPr>
    </w:lvl>
    <w:lvl w:ilvl="7" w:tentative="0">
      <w:start w:val="0"/>
      <w:numFmt w:val="bullet"/>
      <w:lvlText w:val="•"/>
      <w:lvlJc w:val="left"/>
      <w:pPr>
        <w:ind w:left="8874" w:hanging="201"/>
      </w:pPr>
      <w:rPr>
        <w:rFonts w:hint="default"/>
        <w:lang w:val="zh-CN" w:eastAsia="zh-CN" w:bidi="zh-CN"/>
      </w:rPr>
    </w:lvl>
    <w:lvl w:ilvl="8" w:tentative="0">
      <w:start w:val="0"/>
      <w:numFmt w:val="bullet"/>
      <w:lvlText w:val="•"/>
      <w:lvlJc w:val="left"/>
      <w:pPr>
        <w:ind w:left="9884" w:hanging="201"/>
      </w:pPr>
      <w:rPr>
        <w:rFonts w:hint="default"/>
        <w:lang w:val="zh-CN" w:eastAsia="zh-CN" w:bidi="zh-CN"/>
      </w:rPr>
    </w:lvl>
  </w:abstractNum>
  <w:abstractNum w:abstractNumId="44">
    <w:nsid w:val="0248C179"/>
    <w:multiLevelType w:val="multilevel"/>
    <w:tmpl w:val="0248C179"/>
    <w:lvl w:ilvl="0" w:tentative="0">
      <w:start w:val="1"/>
      <w:numFmt w:val="decimal"/>
      <w:lvlText w:val="%1."/>
      <w:lvlJc w:val="left"/>
      <w:pPr>
        <w:ind w:left="2480" w:hanging="201"/>
        <w:jc w:val="left"/>
      </w:pPr>
      <w:rPr>
        <w:rFonts w:hint="default" w:ascii="微软雅黑" w:hAnsi="微软雅黑" w:eastAsia="微软雅黑" w:cs="微软雅黑"/>
        <w:color w:val="333333"/>
        <w:spacing w:val="-3"/>
        <w:w w:val="100"/>
        <w:sz w:val="22"/>
        <w:szCs w:val="22"/>
        <w:lang w:val="zh-CN" w:eastAsia="zh-CN" w:bidi="zh-CN"/>
      </w:rPr>
    </w:lvl>
    <w:lvl w:ilvl="1" w:tentative="0">
      <w:start w:val="0"/>
      <w:numFmt w:val="bullet"/>
      <w:lvlText w:val="•"/>
      <w:lvlJc w:val="left"/>
      <w:pPr>
        <w:ind w:left="3422" w:hanging="201"/>
      </w:pPr>
      <w:rPr>
        <w:rFonts w:hint="default"/>
        <w:lang w:val="zh-CN" w:eastAsia="zh-CN" w:bidi="zh-CN"/>
      </w:rPr>
    </w:lvl>
    <w:lvl w:ilvl="2" w:tentative="0">
      <w:start w:val="0"/>
      <w:numFmt w:val="bullet"/>
      <w:lvlText w:val="•"/>
      <w:lvlJc w:val="left"/>
      <w:pPr>
        <w:ind w:left="4365" w:hanging="201"/>
      </w:pPr>
      <w:rPr>
        <w:rFonts w:hint="default"/>
        <w:lang w:val="zh-CN" w:eastAsia="zh-CN" w:bidi="zh-CN"/>
      </w:rPr>
    </w:lvl>
    <w:lvl w:ilvl="3" w:tentative="0">
      <w:start w:val="0"/>
      <w:numFmt w:val="bullet"/>
      <w:lvlText w:val="•"/>
      <w:lvlJc w:val="left"/>
      <w:pPr>
        <w:ind w:left="5307" w:hanging="201"/>
      </w:pPr>
      <w:rPr>
        <w:rFonts w:hint="default"/>
        <w:lang w:val="zh-CN" w:eastAsia="zh-CN" w:bidi="zh-CN"/>
      </w:rPr>
    </w:lvl>
    <w:lvl w:ilvl="4" w:tentative="0">
      <w:start w:val="0"/>
      <w:numFmt w:val="bullet"/>
      <w:lvlText w:val="•"/>
      <w:lvlJc w:val="left"/>
      <w:pPr>
        <w:ind w:left="6250" w:hanging="201"/>
      </w:pPr>
      <w:rPr>
        <w:rFonts w:hint="default"/>
        <w:lang w:val="zh-CN" w:eastAsia="zh-CN" w:bidi="zh-CN"/>
      </w:rPr>
    </w:lvl>
    <w:lvl w:ilvl="5" w:tentative="0">
      <w:start w:val="0"/>
      <w:numFmt w:val="bullet"/>
      <w:lvlText w:val="•"/>
      <w:lvlJc w:val="left"/>
      <w:pPr>
        <w:ind w:left="7193" w:hanging="201"/>
      </w:pPr>
      <w:rPr>
        <w:rFonts w:hint="default"/>
        <w:lang w:val="zh-CN" w:eastAsia="zh-CN" w:bidi="zh-CN"/>
      </w:rPr>
    </w:lvl>
    <w:lvl w:ilvl="6" w:tentative="0">
      <w:start w:val="0"/>
      <w:numFmt w:val="bullet"/>
      <w:lvlText w:val="•"/>
      <w:lvlJc w:val="left"/>
      <w:pPr>
        <w:ind w:left="8135" w:hanging="201"/>
      </w:pPr>
      <w:rPr>
        <w:rFonts w:hint="default"/>
        <w:lang w:val="zh-CN" w:eastAsia="zh-CN" w:bidi="zh-CN"/>
      </w:rPr>
    </w:lvl>
    <w:lvl w:ilvl="7" w:tentative="0">
      <w:start w:val="0"/>
      <w:numFmt w:val="bullet"/>
      <w:lvlText w:val="•"/>
      <w:lvlJc w:val="left"/>
      <w:pPr>
        <w:ind w:left="9078" w:hanging="201"/>
      </w:pPr>
      <w:rPr>
        <w:rFonts w:hint="default"/>
        <w:lang w:val="zh-CN" w:eastAsia="zh-CN" w:bidi="zh-CN"/>
      </w:rPr>
    </w:lvl>
    <w:lvl w:ilvl="8" w:tentative="0">
      <w:start w:val="0"/>
      <w:numFmt w:val="bullet"/>
      <w:lvlText w:val="•"/>
      <w:lvlJc w:val="left"/>
      <w:pPr>
        <w:ind w:left="10020" w:hanging="201"/>
      </w:pPr>
      <w:rPr>
        <w:rFonts w:hint="default"/>
        <w:lang w:val="zh-CN" w:eastAsia="zh-CN" w:bidi="zh-CN"/>
      </w:rPr>
    </w:lvl>
  </w:abstractNum>
  <w:abstractNum w:abstractNumId="45">
    <w:nsid w:val="03A63A41"/>
    <w:multiLevelType w:val="multilevel"/>
    <w:tmpl w:val="03A63A41"/>
    <w:lvl w:ilvl="0" w:tentative="0">
      <w:start w:val="1"/>
      <w:numFmt w:val="decimal"/>
      <w:lvlText w:val="%1."/>
      <w:lvlJc w:val="left"/>
      <w:pPr>
        <w:ind w:left="1983"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2972" w:hanging="184"/>
      </w:pPr>
      <w:rPr>
        <w:rFonts w:hint="default"/>
        <w:lang w:val="zh-CN" w:eastAsia="zh-CN" w:bidi="zh-CN"/>
      </w:rPr>
    </w:lvl>
    <w:lvl w:ilvl="2" w:tentative="0">
      <w:start w:val="0"/>
      <w:numFmt w:val="bullet"/>
      <w:lvlText w:val="•"/>
      <w:lvlJc w:val="left"/>
      <w:pPr>
        <w:ind w:left="3965" w:hanging="184"/>
      </w:pPr>
      <w:rPr>
        <w:rFonts w:hint="default"/>
        <w:lang w:val="zh-CN" w:eastAsia="zh-CN" w:bidi="zh-CN"/>
      </w:rPr>
    </w:lvl>
    <w:lvl w:ilvl="3" w:tentative="0">
      <w:start w:val="0"/>
      <w:numFmt w:val="bullet"/>
      <w:lvlText w:val="•"/>
      <w:lvlJc w:val="left"/>
      <w:pPr>
        <w:ind w:left="4957" w:hanging="184"/>
      </w:pPr>
      <w:rPr>
        <w:rFonts w:hint="default"/>
        <w:lang w:val="zh-CN" w:eastAsia="zh-CN" w:bidi="zh-CN"/>
      </w:rPr>
    </w:lvl>
    <w:lvl w:ilvl="4" w:tentative="0">
      <w:start w:val="0"/>
      <w:numFmt w:val="bullet"/>
      <w:lvlText w:val="•"/>
      <w:lvlJc w:val="left"/>
      <w:pPr>
        <w:ind w:left="5950" w:hanging="184"/>
      </w:pPr>
      <w:rPr>
        <w:rFonts w:hint="default"/>
        <w:lang w:val="zh-CN" w:eastAsia="zh-CN" w:bidi="zh-CN"/>
      </w:rPr>
    </w:lvl>
    <w:lvl w:ilvl="5" w:tentative="0">
      <w:start w:val="0"/>
      <w:numFmt w:val="bullet"/>
      <w:lvlText w:val="•"/>
      <w:lvlJc w:val="left"/>
      <w:pPr>
        <w:ind w:left="6943" w:hanging="184"/>
      </w:pPr>
      <w:rPr>
        <w:rFonts w:hint="default"/>
        <w:lang w:val="zh-CN" w:eastAsia="zh-CN" w:bidi="zh-CN"/>
      </w:rPr>
    </w:lvl>
    <w:lvl w:ilvl="6" w:tentative="0">
      <w:start w:val="0"/>
      <w:numFmt w:val="bullet"/>
      <w:lvlText w:val="•"/>
      <w:lvlJc w:val="left"/>
      <w:pPr>
        <w:ind w:left="7935" w:hanging="184"/>
      </w:pPr>
      <w:rPr>
        <w:rFonts w:hint="default"/>
        <w:lang w:val="zh-CN" w:eastAsia="zh-CN" w:bidi="zh-CN"/>
      </w:rPr>
    </w:lvl>
    <w:lvl w:ilvl="7" w:tentative="0">
      <w:start w:val="0"/>
      <w:numFmt w:val="bullet"/>
      <w:lvlText w:val="•"/>
      <w:lvlJc w:val="left"/>
      <w:pPr>
        <w:ind w:left="8928" w:hanging="184"/>
      </w:pPr>
      <w:rPr>
        <w:rFonts w:hint="default"/>
        <w:lang w:val="zh-CN" w:eastAsia="zh-CN" w:bidi="zh-CN"/>
      </w:rPr>
    </w:lvl>
    <w:lvl w:ilvl="8" w:tentative="0">
      <w:start w:val="0"/>
      <w:numFmt w:val="bullet"/>
      <w:lvlText w:val="•"/>
      <w:lvlJc w:val="left"/>
      <w:pPr>
        <w:ind w:left="9920" w:hanging="184"/>
      </w:pPr>
      <w:rPr>
        <w:rFonts w:hint="default"/>
        <w:lang w:val="zh-CN" w:eastAsia="zh-CN" w:bidi="zh-CN"/>
      </w:rPr>
    </w:lvl>
  </w:abstractNum>
  <w:abstractNum w:abstractNumId="46">
    <w:nsid w:val="03D62ECE"/>
    <w:multiLevelType w:val="multilevel"/>
    <w:tmpl w:val="03D62ECE"/>
    <w:lvl w:ilvl="0" w:tentative="0">
      <w:start w:val="1"/>
      <w:numFmt w:val="decimal"/>
      <w:lvlText w:val="%1."/>
      <w:lvlJc w:val="left"/>
      <w:pPr>
        <w:ind w:left="1800" w:hanging="201"/>
        <w:jc w:val="left"/>
      </w:pPr>
      <w:rPr>
        <w:rFonts w:hint="default" w:ascii="微软雅黑" w:hAnsi="微软雅黑" w:eastAsia="微软雅黑" w:cs="微软雅黑"/>
        <w:color w:val="333333"/>
        <w:spacing w:val="-3"/>
        <w:w w:val="100"/>
        <w:sz w:val="22"/>
        <w:szCs w:val="22"/>
        <w:lang w:val="zh-CN" w:eastAsia="zh-CN" w:bidi="zh-CN"/>
      </w:rPr>
    </w:lvl>
    <w:lvl w:ilvl="1" w:tentative="0">
      <w:start w:val="0"/>
      <w:numFmt w:val="bullet"/>
      <w:lvlText w:val="•"/>
      <w:lvlJc w:val="left"/>
      <w:pPr>
        <w:ind w:left="2810" w:hanging="201"/>
      </w:pPr>
      <w:rPr>
        <w:rFonts w:hint="default"/>
        <w:lang w:val="zh-CN" w:eastAsia="zh-CN" w:bidi="zh-CN"/>
      </w:rPr>
    </w:lvl>
    <w:lvl w:ilvl="2" w:tentative="0">
      <w:start w:val="0"/>
      <w:numFmt w:val="bullet"/>
      <w:lvlText w:val="•"/>
      <w:lvlJc w:val="left"/>
      <w:pPr>
        <w:ind w:left="3821" w:hanging="201"/>
      </w:pPr>
      <w:rPr>
        <w:rFonts w:hint="default"/>
        <w:lang w:val="zh-CN" w:eastAsia="zh-CN" w:bidi="zh-CN"/>
      </w:rPr>
    </w:lvl>
    <w:lvl w:ilvl="3" w:tentative="0">
      <w:start w:val="0"/>
      <w:numFmt w:val="bullet"/>
      <w:lvlText w:val="•"/>
      <w:lvlJc w:val="left"/>
      <w:pPr>
        <w:ind w:left="4831" w:hanging="201"/>
      </w:pPr>
      <w:rPr>
        <w:rFonts w:hint="default"/>
        <w:lang w:val="zh-CN" w:eastAsia="zh-CN" w:bidi="zh-CN"/>
      </w:rPr>
    </w:lvl>
    <w:lvl w:ilvl="4" w:tentative="0">
      <w:start w:val="0"/>
      <w:numFmt w:val="bullet"/>
      <w:lvlText w:val="•"/>
      <w:lvlJc w:val="left"/>
      <w:pPr>
        <w:ind w:left="5842" w:hanging="201"/>
      </w:pPr>
      <w:rPr>
        <w:rFonts w:hint="default"/>
        <w:lang w:val="zh-CN" w:eastAsia="zh-CN" w:bidi="zh-CN"/>
      </w:rPr>
    </w:lvl>
    <w:lvl w:ilvl="5" w:tentative="0">
      <w:start w:val="0"/>
      <w:numFmt w:val="bullet"/>
      <w:lvlText w:val="•"/>
      <w:lvlJc w:val="left"/>
      <w:pPr>
        <w:ind w:left="6853" w:hanging="201"/>
      </w:pPr>
      <w:rPr>
        <w:rFonts w:hint="default"/>
        <w:lang w:val="zh-CN" w:eastAsia="zh-CN" w:bidi="zh-CN"/>
      </w:rPr>
    </w:lvl>
    <w:lvl w:ilvl="6" w:tentative="0">
      <w:start w:val="0"/>
      <w:numFmt w:val="bullet"/>
      <w:lvlText w:val="•"/>
      <w:lvlJc w:val="left"/>
      <w:pPr>
        <w:ind w:left="7863" w:hanging="201"/>
      </w:pPr>
      <w:rPr>
        <w:rFonts w:hint="default"/>
        <w:lang w:val="zh-CN" w:eastAsia="zh-CN" w:bidi="zh-CN"/>
      </w:rPr>
    </w:lvl>
    <w:lvl w:ilvl="7" w:tentative="0">
      <w:start w:val="0"/>
      <w:numFmt w:val="bullet"/>
      <w:lvlText w:val="•"/>
      <w:lvlJc w:val="left"/>
      <w:pPr>
        <w:ind w:left="8874" w:hanging="201"/>
      </w:pPr>
      <w:rPr>
        <w:rFonts w:hint="default"/>
        <w:lang w:val="zh-CN" w:eastAsia="zh-CN" w:bidi="zh-CN"/>
      </w:rPr>
    </w:lvl>
    <w:lvl w:ilvl="8" w:tentative="0">
      <w:start w:val="0"/>
      <w:numFmt w:val="bullet"/>
      <w:lvlText w:val="•"/>
      <w:lvlJc w:val="left"/>
      <w:pPr>
        <w:ind w:left="9884" w:hanging="201"/>
      </w:pPr>
      <w:rPr>
        <w:rFonts w:hint="default"/>
        <w:lang w:val="zh-CN" w:eastAsia="zh-CN" w:bidi="zh-CN"/>
      </w:rPr>
    </w:lvl>
  </w:abstractNum>
  <w:abstractNum w:abstractNumId="47">
    <w:nsid w:val="0709FD3E"/>
    <w:multiLevelType w:val="multilevel"/>
    <w:tmpl w:val="0709FD3E"/>
    <w:lvl w:ilvl="0" w:tentative="0">
      <w:start w:val="1"/>
      <w:numFmt w:val="decimal"/>
      <w:lvlText w:val="%1."/>
      <w:lvlJc w:val="left"/>
      <w:pPr>
        <w:ind w:left="1800" w:hanging="204"/>
        <w:jc w:val="left"/>
      </w:pPr>
      <w:rPr>
        <w:rFonts w:hint="default"/>
        <w:sz w:val="22"/>
        <w:szCs w:val="22"/>
        <w:u w:val="single" w:color="0000FF"/>
        <w:lang w:val="zh-CN" w:eastAsia="zh-CN" w:bidi="zh-CN"/>
      </w:rPr>
    </w:lvl>
    <w:lvl w:ilvl="1" w:tentative="0">
      <w:start w:val="0"/>
      <w:numFmt w:val="bullet"/>
      <w:lvlText w:val="•"/>
      <w:lvlJc w:val="left"/>
      <w:pPr>
        <w:ind w:left="2810" w:hanging="204"/>
      </w:pPr>
      <w:rPr>
        <w:rFonts w:hint="default"/>
        <w:lang w:val="zh-CN" w:eastAsia="zh-CN" w:bidi="zh-CN"/>
      </w:rPr>
    </w:lvl>
    <w:lvl w:ilvl="2" w:tentative="0">
      <w:start w:val="0"/>
      <w:numFmt w:val="bullet"/>
      <w:lvlText w:val="•"/>
      <w:lvlJc w:val="left"/>
      <w:pPr>
        <w:ind w:left="3821" w:hanging="204"/>
      </w:pPr>
      <w:rPr>
        <w:rFonts w:hint="default"/>
        <w:lang w:val="zh-CN" w:eastAsia="zh-CN" w:bidi="zh-CN"/>
      </w:rPr>
    </w:lvl>
    <w:lvl w:ilvl="3" w:tentative="0">
      <w:start w:val="0"/>
      <w:numFmt w:val="bullet"/>
      <w:lvlText w:val="•"/>
      <w:lvlJc w:val="left"/>
      <w:pPr>
        <w:ind w:left="4831" w:hanging="204"/>
      </w:pPr>
      <w:rPr>
        <w:rFonts w:hint="default"/>
        <w:lang w:val="zh-CN" w:eastAsia="zh-CN" w:bidi="zh-CN"/>
      </w:rPr>
    </w:lvl>
    <w:lvl w:ilvl="4" w:tentative="0">
      <w:start w:val="0"/>
      <w:numFmt w:val="bullet"/>
      <w:lvlText w:val="•"/>
      <w:lvlJc w:val="left"/>
      <w:pPr>
        <w:ind w:left="5842" w:hanging="204"/>
      </w:pPr>
      <w:rPr>
        <w:rFonts w:hint="default"/>
        <w:lang w:val="zh-CN" w:eastAsia="zh-CN" w:bidi="zh-CN"/>
      </w:rPr>
    </w:lvl>
    <w:lvl w:ilvl="5" w:tentative="0">
      <w:start w:val="0"/>
      <w:numFmt w:val="bullet"/>
      <w:lvlText w:val="•"/>
      <w:lvlJc w:val="left"/>
      <w:pPr>
        <w:ind w:left="6853" w:hanging="204"/>
      </w:pPr>
      <w:rPr>
        <w:rFonts w:hint="default"/>
        <w:lang w:val="zh-CN" w:eastAsia="zh-CN" w:bidi="zh-CN"/>
      </w:rPr>
    </w:lvl>
    <w:lvl w:ilvl="6" w:tentative="0">
      <w:start w:val="0"/>
      <w:numFmt w:val="bullet"/>
      <w:lvlText w:val="•"/>
      <w:lvlJc w:val="left"/>
      <w:pPr>
        <w:ind w:left="7863" w:hanging="204"/>
      </w:pPr>
      <w:rPr>
        <w:rFonts w:hint="default"/>
        <w:lang w:val="zh-CN" w:eastAsia="zh-CN" w:bidi="zh-CN"/>
      </w:rPr>
    </w:lvl>
    <w:lvl w:ilvl="7" w:tentative="0">
      <w:start w:val="0"/>
      <w:numFmt w:val="bullet"/>
      <w:lvlText w:val="•"/>
      <w:lvlJc w:val="left"/>
      <w:pPr>
        <w:ind w:left="8874" w:hanging="204"/>
      </w:pPr>
      <w:rPr>
        <w:rFonts w:hint="default"/>
        <w:lang w:val="zh-CN" w:eastAsia="zh-CN" w:bidi="zh-CN"/>
      </w:rPr>
    </w:lvl>
    <w:lvl w:ilvl="8" w:tentative="0">
      <w:start w:val="0"/>
      <w:numFmt w:val="bullet"/>
      <w:lvlText w:val="•"/>
      <w:lvlJc w:val="left"/>
      <w:pPr>
        <w:ind w:left="9884" w:hanging="204"/>
      </w:pPr>
      <w:rPr>
        <w:rFonts w:hint="default"/>
        <w:lang w:val="zh-CN" w:eastAsia="zh-CN" w:bidi="zh-CN"/>
      </w:rPr>
    </w:lvl>
  </w:abstractNum>
  <w:abstractNum w:abstractNumId="48">
    <w:nsid w:val="0CEF100B"/>
    <w:multiLevelType w:val="multilevel"/>
    <w:tmpl w:val="0CEF100B"/>
    <w:lvl w:ilvl="0" w:tentative="0">
      <w:start w:val="1"/>
      <w:numFmt w:val="decimal"/>
      <w:lvlText w:val="%1."/>
      <w:lvlJc w:val="left"/>
      <w:pPr>
        <w:ind w:left="1800" w:hanging="201"/>
        <w:jc w:val="left"/>
      </w:pPr>
      <w:rPr>
        <w:rFonts w:hint="default" w:ascii="微软雅黑" w:hAnsi="微软雅黑" w:eastAsia="微软雅黑" w:cs="微软雅黑"/>
        <w:color w:val="333333"/>
        <w:spacing w:val="-3"/>
        <w:w w:val="100"/>
        <w:sz w:val="22"/>
        <w:szCs w:val="22"/>
        <w:lang w:val="zh-CN" w:eastAsia="zh-CN" w:bidi="zh-CN"/>
      </w:rPr>
    </w:lvl>
    <w:lvl w:ilvl="1" w:tentative="0">
      <w:start w:val="0"/>
      <w:numFmt w:val="bullet"/>
      <w:lvlText w:val="•"/>
      <w:lvlJc w:val="left"/>
      <w:pPr>
        <w:ind w:left="2810" w:hanging="201"/>
      </w:pPr>
      <w:rPr>
        <w:rFonts w:hint="default"/>
        <w:lang w:val="zh-CN" w:eastAsia="zh-CN" w:bidi="zh-CN"/>
      </w:rPr>
    </w:lvl>
    <w:lvl w:ilvl="2" w:tentative="0">
      <w:start w:val="0"/>
      <w:numFmt w:val="bullet"/>
      <w:lvlText w:val="•"/>
      <w:lvlJc w:val="left"/>
      <w:pPr>
        <w:ind w:left="3821" w:hanging="201"/>
      </w:pPr>
      <w:rPr>
        <w:rFonts w:hint="default"/>
        <w:lang w:val="zh-CN" w:eastAsia="zh-CN" w:bidi="zh-CN"/>
      </w:rPr>
    </w:lvl>
    <w:lvl w:ilvl="3" w:tentative="0">
      <w:start w:val="0"/>
      <w:numFmt w:val="bullet"/>
      <w:lvlText w:val="•"/>
      <w:lvlJc w:val="left"/>
      <w:pPr>
        <w:ind w:left="4831" w:hanging="201"/>
      </w:pPr>
      <w:rPr>
        <w:rFonts w:hint="default"/>
        <w:lang w:val="zh-CN" w:eastAsia="zh-CN" w:bidi="zh-CN"/>
      </w:rPr>
    </w:lvl>
    <w:lvl w:ilvl="4" w:tentative="0">
      <w:start w:val="0"/>
      <w:numFmt w:val="bullet"/>
      <w:lvlText w:val="•"/>
      <w:lvlJc w:val="left"/>
      <w:pPr>
        <w:ind w:left="5842" w:hanging="201"/>
      </w:pPr>
      <w:rPr>
        <w:rFonts w:hint="default"/>
        <w:lang w:val="zh-CN" w:eastAsia="zh-CN" w:bidi="zh-CN"/>
      </w:rPr>
    </w:lvl>
    <w:lvl w:ilvl="5" w:tentative="0">
      <w:start w:val="0"/>
      <w:numFmt w:val="bullet"/>
      <w:lvlText w:val="•"/>
      <w:lvlJc w:val="left"/>
      <w:pPr>
        <w:ind w:left="6853" w:hanging="201"/>
      </w:pPr>
      <w:rPr>
        <w:rFonts w:hint="default"/>
        <w:lang w:val="zh-CN" w:eastAsia="zh-CN" w:bidi="zh-CN"/>
      </w:rPr>
    </w:lvl>
    <w:lvl w:ilvl="6" w:tentative="0">
      <w:start w:val="0"/>
      <w:numFmt w:val="bullet"/>
      <w:lvlText w:val="•"/>
      <w:lvlJc w:val="left"/>
      <w:pPr>
        <w:ind w:left="7863" w:hanging="201"/>
      </w:pPr>
      <w:rPr>
        <w:rFonts w:hint="default"/>
        <w:lang w:val="zh-CN" w:eastAsia="zh-CN" w:bidi="zh-CN"/>
      </w:rPr>
    </w:lvl>
    <w:lvl w:ilvl="7" w:tentative="0">
      <w:start w:val="0"/>
      <w:numFmt w:val="bullet"/>
      <w:lvlText w:val="•"/>
      <w:lvlJc w:val="left"/>
      <w:pPr>
        <w:ind w:left="8874" w:hanging="201"/>
      </w:pPr>
      <w:rPr>
        <w:rFonts w:hint="default"/>
        <w:lang w:val="zh-CN" w:eastAsia="zh-CN" w:bidi="zh-CN"/>
      </w:rPr>
    </w:lvl>
    <w:lvl w:ilvl="8" w:tentative="0">
      <w:start w:val="0"/>
      <w:numFmt w:val="bullet"/>
      <w:lvlText w:val="•"/>
      <w:lvlJc w:val="left"/>
      <w:pPr>
        <w:ind w:left="9884" w:hanging="201"/>
      </w:pPr>
      <w:rPr>
        <w:rFonts w:hint="default"/>
        <w:lang w:val="zh-CN" w:eastAsia="zh-CN" w:bidi="zh-CN"/>
      </w:rPr>
    </w:lvl>
  </w:abstractNum>
  <w:abstractNum w:abstractNumId="49">
    <w:nsid w:val="0E640482"/>
    <w:multiLevelType w:val="multilevel"/>
    <w:tmpl w:val="0E640482"/>
    <w:lvl w:ilvl="0" w:tentative="0">
      <w:start w:val="1"/>
      <w:numFmt w:val="decimal"/>
      <w:lvlText w:val="%1."/>
      <w:lvlJc w:val="left"/>
      <w:pPr>
        <w:ind w:left="2480" w:hanging="201"/>
        <w:jc w:val="left"/>
      </w:pPr>
      <w:rPr>
        <w:rFonts w:hint="default" w:ascii="微软雅黑" w:hAnsi="微软雅黑" w:eastAsia="微软雅黑" w:cs="微软雅黑"/>
        <w:color w:val="333333"/>
        <w:spacing w:val="-3"/>
        <w:w w:val="100"/>
        <w:sz w:val="22"/>
        <w:szCs w:val="22"/>
        <w:lang w:val="zh-CN" w:eastAsia="zh-CN" w:bidi="zh-CN"/>
      </w:rPr>
    </w:lvl>
    <w:lvl w:ilvl="1" w:tentative="0">
      <w:start w:val="0"/>
      <w:numFmt w:val="bullet"/>
      <w:lvlText w:val="•"/>
      <w:lvlJc w:val="left"/>
      <w:pPr>
        <w:ind w:left="3422" w:hanging="201"/>
      </w:pPr>
      <w:rPr>
        <w:rFonts w:hint="default"/>
        <w:lang w:val="zh-CN" w:eastAsia="zh-CN" w:bidi="zh-CN"/>
      </w:rPr>
    </w:lvl>
    <w:lvl w:ilvl="2" w:tentative="0">
      <w:start w:val="0"/>
      <w:numFmt w:val="bullet"/>
      <w:lvlText w:val="•"/>
      <w:lvlJc w:val="left"/>
      <w:pPr>
        <w:ind w:left="4365" w:hanging="201"/>
      </w:pPr>
      <w:rPr>
        <w:rFonts w:hint="default"/>
        <w:lang w:val="zh-CN" w:eastAsia="zh-CN" w:bidi="zh-CN"/>
      </w:rPr>
    </w:lvl>
    <w:lvl w:ilvl="3" w:tentative="0">
      <w:start w:val="0"/>
      <w:numFmt w:val="bullet"/>
      <w:lvlText w:val="•"/>
      <w:lvlJc w:val="left"/>
      <w:pPr>
        <w:ind w:left="5307" w:hanging="201"/>
      </w:pPr>
      <w:rPr>
        <w:rFonts w:hint="default"/>
        <w:lang w:val="zh-CN" w:eastAsia="zh-CN" w:bidi="zh-CN"/>
      </w:rPr>
    </w:lvl>
    <w:lvl w:ilvl="4" w:tentative="0">
      <w:start w:val="0"/>
      <w:numFmt w:val="bullet"/>
      <w:lvlText w:val="•"/>
      <w:lvlJc w:val="left"/>
      <w:pPr>
        <w:ind w:left="6250" w:hanging="201"/>
      </w:pPr>
      <w:rPr>
        <w:rFonts w:hint="default"/>
        <w:lang w:val="zh-CN" w:eastAsia="zh-CN" w:bidi="zh-CN"/>
      </w:rPr>
    </w:lvl>
    <w:lvl w:ilvl="5" w:tentative="0">
      <w:start w:val="0"/>
      <w:numFmt w:val="bullet"/>
      <w:lvlText w:val="•"/>
      <w:lvlJc w:val="left"/>
      <w:pPr>
        <w:ind w:left="7193" w:hanging="201"/>
      </w:pPr>
      <w:rPr>
        <w:rFonts w:hint="default"/>
        <w:lang w:val="zh-CN" w:eastAsia="zh-CN" w:bidi="zh-CN"/>
      </w:rPr>
    </w:lvl>
    <w:lvl w:ilvl="6" w:tentative="0">
      <w:start w:val="0"/>
      <w:numFmt w:val="bullet"/>
      <w:lvlText w:val="•"/>
      <w:lvlJc w:val="left"/>
      <w:pPr>
        <w:ind w:left="8135" w:hanging="201"/>
      </w:pPr>
      <w:rPr>
        <w:rFonts w:hint="default"/>
        <w:lang w:val="zh-CN" w:eastAsia="zh-CN" w:bidi="zh-CN"/>
      </w:rPr>
    </w:lvl>
    <w:lvl w:ilvl="7" w:tentative="0">
      <w:start w:val="0"/>
      <w:numFmt w:val="bullet"/>
      <w:lvlText w:val="•"/>
      <w:lvlJc w:val="left"/>
      <w:pPr>
        <w:ind w:left="9078" w:hanging="201"/>
      </w:pPr>
      <w:rPr>
        <w:rFonts w:hint="default"/>
        <w:lang w:val="zh-CN" w:eastAsia="zh-CN" w:bidi="zh-CN"/>
      </w:rPr>
    </w:lvl>
    <w:lvl w:ilvl="8" w:tentative="0">
      <w:start w:val="0"/>
      <w:numFmt w:val="bullet"/>
      <w:lvlText w:val="•"/>
      <w:lvlJc w:val="left"/>
      <w:pPr>
        <w:ind w:left="10020" w:hanging="201"/>
      </w:pPr>
      <w:rPr>
        <w:rFonts w:hint="default"/>
        <w:lang w:val="zh-CN" w:eastAsia="zh-CN" w:bidi="zh-CN"/>
      </w:rPr>
    </w:lvl>
  </w:abstractNum>
  <w:abstractNum w:abstractNumId="50">
    <w:nsid w:val="0F9F9CCA"/>
    <w:multiLevelType w:val="multilevel"/>
    <w:tmpl w:val="0F9F9CCA"/>
    <w:lvl w:ilvl="0" w:tentative="0">
      <w:start w:val="1"/>
      <w:numFmt w:val="decimal"/>
      <w:lvlText w:val="（%1）"/>
      <w:lvlJc w:val="left"/>
      <w:pPr>
        <w:ind w:left="2401" w:hanging="601"/>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3350" w:hanging="601"/>
      </w:pPr>
      <w:rPr>
        <w:rFonts w:hint="default"/>
        <w:lang w:val="zh-CN" w:eastAsia="zh-CN" w:bidi="zh-CN"/>
      </w:rPr>
    </w:lvl>
    <w:lvl w:ilvl="2" w:tentative="0">
      <w:start w:val="0"/>
      <w:numFmt w:val="bullet"/>
      <w:lvlText w:val="•"/>
      <w:lvlJc w:val="left"/>
      <w:pPr>
        <w:ind w:left="4301" w:hanging="601"/>
      </w:pPr>
      <w:rPr>
        <w:rFonts w:hint="default"/>
        <w:lang w:val="zh-CN" w:eastAsia="zh-CN" w:bidi="zh-CN"/>
      </w:rPr>
    </w:lvl>
    <w:lvl w:ilvl="3" w:tentative="0">
      <w:start w:val="0"/>
      <w:numFmt w:val="bullet"/>
      <w:lvlText w:val="•"/>
      <w:lvlJc w:val="left"/>
      <w:pPr>
        <w:ind w:left="5251" w:hanging="601"/>
      </w:pPr>
      <w:rPr>
        <w:rFonts w:hint="default"/>
        <w:lang w:val="zh-CN" w:eastAsia="zh-CN" w:bidi="zh-CN"/>
      </w:rPr>
    </w:lvl>
    <w:lvl w:ilvl="4" w:tentative="0">
      <w:start w:val="0"/>
      <w:numFmt w:val="bullet"/>
      <w:lvlText w:val="•"/>
      <w:lvlJc w:val="left"/>
      <w:pPr>
        <w:ind w:left="6202" w:hanging="601"/>
      </w:pPr>
      <w:rPr>
        <w:rFonts w:hint="default"/>
        <w:lang w:val="zh-CN" w:eastAsia="zh-CN" w:bidi="zh-CN"/>
      </w:rPr>
    </w:lvl>
    <w:lvl w:ilvl="5" w:tentative="0">
      <w:start w:val="0"/>
      <w:numFmt w:val="bullet"/>
      <w:lvlText w:val="•"/>
      <w:lvlJc w:val="left"/>
      <w:pPr>
        <w:ind w:left="7153" w:hanging="601"/>
      </w:pPr>
      <w:rPr>
        <w:rFonts w:hint="default"/>
        <w:lang w:val="zh-CN" w:eastAsia="zh-CN" w:bidi="zh-CN"/>
      </w:rPr>
    </w:lvl>
    <w:lvl w:ilvl="6" w:tentative="0">
      <w:start w:val="0"/>
      <w:numFmt w:val="bullet"/>
      <w:lvlText w:val="•"/>
      <w:lvlJc w:val="left"/>
      <w:pPr>
        <w:ind w:left="8103" w:hanging="601"/>
      </w:pPr>
      <w:rPr>
        <w:rFonts w:hint="default"/>
        <w:lang w:val="zh-CN" w:eastAsia="zh-CN" w:bidi="zh-CN"/>
      </w:rPr>
    </w:lvl>
    <w:lvl w:ilvl="7" w:tentative="0">
      <w:start w:val="0"/>
      <w:numFmt w:val="bullet"/>
      <w:lvlText w:val="•"/>
      <w:lvlJc w:val="left"/>
      <w:pPr>
        <w:ind w:left="9054" w:hanging="601"/>
      </w:pPr>
      <w:rPr>
        <w:rFonts w:hint="default"/>
        <w:lang w:val="zh-CN" w:eastAsia="zh-CN" w:bidi="zh-CN"/>
      </w:rPr>
    </w:lvl>
    <w:lvl w:ilvl="8" w:tentative="0">
      <w:start w:val="0"/>
      <w:numFmt w:val="bullet"/>
      <w:lvlText w:val="•"/>
      <w:lvlJc w:val="left"/>
      <w:pPr>
        <w:ind w:left="10004" w:hanging="601"/>
      </w:pPr>
      <w:rPr>
        <w:rFonts w:hint="default"/>
        <w:lang w:val="zh-CN" w:eastAsia="zh-CN" w:bidi="zh-CN"/>
      </w:rPr>
    </w:lvl>
  </w:abstractNum>
  <w:abstractNum w:abstractNumId="51">
    <w:nsid w:val="12EADF99"/>
    <w:multiLevelType w:val="multilevel"/>
    <w:tmpl w:val="12EADF99"/>
    <w:lvl w:ilvl="0" w:tentative="0">
      <w:start w:val="1"/>
      <w:numFmt w:val="decimal"/>
      <w:lvlText w:val="（%1）"/>
      <w:lvlJc w:val="left"/>
      <w:pPr>
        <w:ind w:left="1800" w:hanging="604"/>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2810" w:hanging="604"/>
      </w:pPr>
      <w:rPr>
        <w:rFonts w:hint="default"/>
        <w:lang w:val="zh-CN" w:eastAsia="zh-CN" w:bidi="zh-CN"/>
      </w:rPr>
    </w:lvl>
    <w:lvl w:ilvl="2" w:tentative="0">
      <w:start w:val="0"/>
      <w:numFmt w:val="bullet"/>
      <w:lvlText w:val="•"/>
      <w:lvlJc w:val="left"/>
      <w:pPr>
        <w:ind w:left="3821" w:hanging="604"/>
      </w:pPr>
      <w:rPr>
        <w:rFonts w:hint="default"/>
        <w:lang w:val="zh-CN" w:eastAsia="zh-CN" w:bidi="zh-CN"/>
      </w:rPr>
    </w:lvl>
    <w:lvl w:ilvl="3" w:tentative="0">
      <w:start w:val="0"/>
      <w:numFmt w:val="bullet"/>
      <w:lvlText w:val="•"/>
      <w:lvlJc w:val="left"/>
      <w:pPr>
        <w:ind w:left="4831" w:hanging="604"/>
      </w:pPr>
      <w:rPr>
        <w:rFonts w:hint="default"/>
        <w:lang w:val="zh-CN" w:eastAsia="zh-CN" w:bidi="zh-CN"/>
      </w:rPr>
    </w:lvl>
    <w:lvl w:ilvl="4" w:tentative="0">
      <w:start w:val="0"/>
      <w:numFmt w:val="bullet"/>
      <w:lvlText w:val="•"/>
      <w:lvlJc w:val="left"/>
      <w:pPr>
        <w:ind w:left="5842" w:hanging="604"/>
      </w:pPr>
      <w:rPr>
        <w:rFonts w:hint="default"/>
        <w:lang w:val="zh-CN" w:eastAsia="zh-CN" w:bidi="zh-CN"/>
      </w:rPr>
    </w:lvl>
    <w:lvl w:ilvl="5" w:tentative="0">
      <w:start w:val="0"/>
      <w:numFmt w:val="bullet"/>
      <w:lvlText w:val="•"/>
      <w:lvlJc w:val="left"/>
      <w:pPr>
        <w:ind w:left="6853" w:hanging="604"/>
      </w:pPr>
      <w:rPr>
        <w:rFonts w:hint="default"/>
        <w:lang w:val="zh-CN" w:eastAsia="zh-CN" w:bidi="zh-CN"/>
      </w:rPr>
    </w:lvl>
    <w:lvl w:ilvl="6" w:tentative="0">
      <w:start w:val="0"/>
      <w:numFmt w:val="bullet"/>
      <w:lvlText w:val="•"/>
      <w:lvlJc w:val="left"/>
      <w:pPr>
        <w:ind w:left="7863" w:hanging="604"/>
      </w:pPr>
      <w:rPr>
        <w:rFonts w:hint="default"/>
        <w:lang w:val="zh-CN" w:eastAsia="zh-CN" w:bidi="zh-CN"/>
      </w:rPr>
    </w:lvl>
    <w:lvl w:ilvl="7" w:tentative="0">
      <w:start w:val="0"/>
      <w:numFmt w:val="bullet"/>
      <w:lvlText w:val="•"/>
      <w:lvlJc w:val="left"/>
      <w:pPr>
        <w:ind w:left="8874" w:hanging="604"/>
      </w:pPr>
      <w:rPr>
        <w:rFonts w:hint="default"/>
        <w:lang w:val="zh-CN" w:eastAsia="zh-CN" w:bidi="zh-CN"/>
      </w:rPr>
    </w:lvl>
    <w:lvl w:ilvl="8" w:tentative="0">
      <w:start w:val="0"/>
      <w:numFmt w:val="bullet"/>
      <w:lvlText w:val="•"/>
      <w:lvlJc w:val="left"/>
      <w:pPr>
        <w:ind w:left="9884" w:hanging="604"/>
      </w:pPr>
      <w:rPr>
        <w:rFonts w:hint="default"/>
        <w:lang w:val="zh-CN" w:eastAsia="zh-CN" w:bidi="zh-CN"/>
      </w:rPr>
    </w:lvl>
  </w:abstractNum>
  <w:abstractNum w:abstractNumId="52">
    <w:nsid w:val="1450273B"/>
    <w:multiLevelType w:val="multilevel"/>
    <w:tmpl w:val="1450273B"/>
    <w:lvl w:ilvl="0" w:tentative="0">
      <w:start w:val="1"/>
      <w:numFmt w:val="decimal"/>
      <w:lvlText w:val="%1."/>
      <w:lvlJc w:val="left"/>
      <w:pPr>
        <w:ind w:left="1800"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2810" w:hanging="184"/>
      </w:pPr>
      <w:rPr>
        <w:rFonts w:hint="default"/>
        <w:lang w:val="zh-CN" w:eastAsia="zh-CN" w:bidi="zh-CN"/>
      </w:rPr>
    </w:lvl>
    <w:lvl w:ilvl="2" w:tentative="0">
      <w:start w:val="0"/>
      <w:numFmt w:val="bullet"/>
      <w:lvlText w:val="•"/>
      <w:lvlJc w:val="left"/>
      <w:pPr>
        <w:ind w:left="3821" w:hanging="184"/>
      </w:pPr>
      <w:rPr>
        <w:rFonts w:hint="default"/>
        <w:lang w:val="zh-CN" w:eastAsia="zh-CN" w:bidi="zh-CN"/>
      </w:rPr>
    </w:lvl>
    <w:lvl w:ilvl="3" w:tentative="0">
      <w:start w:val="0"/>
      <w:numFmt w:val="bullet"/>
      <w:lvlText w:val="•"/>
      <w:lvlJc w:val="left"/>
      <w:pPr>
        <w:ind w:left="4831" w:hanging="184"/>
      </w:pPr>
      <w:rPr>
        <w:rFonts w:hint="default"/>
        <w:lang w:val="zh-CN" w:eastAsia="zh-CN" w:bidi="zh-CN"/>
      </w:rPr>
    </w:lvl>
    <w:lvl w:ilvl="4" w:tentative="0">
      <w:start w:val="0"/>
      <w:numFmt w:val="bullet"/>
      <w:lvlText w:val="•"/>
      <w:lvlJc w:val="left"/>
      <w:pPr>
        <w:ind w:left="5842" w:hanging="184"/>
      </w:pPr>
      <w:rPr>
        <w:rFonts w:hint="default"/>
        <w:lang w:val="zh-CN" w:eastAsia="zh-CN" w:bidi="zh-CN"/>
      </w:rPr>
    </w:lvl>
    <w:lvl w:ilvl="5" w:tentative="0">
      <w:start w:val="0"/>
      <w:numFmt w:val="bullet"/>
      <w:lvlText w:val="•"/>
      <w:lvlJc w:val="left"/>
      <w:pPr>
        <w:ind w:left="6853" w:hanging="184"/>
      </w:pPr>
      <w:rPr>
        <w:rFonts w:hint="default"/>
        <w:lang w:val="zh-CN" w:eastAsia="zh-CN" w:bidi="zh-CN"/>
      </w:rPr>
    </w:lvl>
    <w:lvl w:ilvl="6" w:tentative="0">
      <w:start w:val="0"/>
      <w:numFmt w:val="bullet"/>
      <w:lvlText w:val="•"/>
      <w:lvlJc w:val="left"/>
      <w:pPr>
        <w:ind w:left="7863" w:hanging="184"/>
      </w:pPr>
      <w:rPr>
        <w:rFonts w:hint="default"/>
        <w:lang w:val="zh-CN" w:eastAsia="zh-CN" w:bidi="zh-CN"/>
      </w:rPr>
    </w:lvl>
    <w:lvl w:ilvl="7" w:tentative="0">
      <w:start w:val="0"/>
      <w:numFmt w:val="bullet"/>
      <w:lvlText w:val="•"/>
      <w:lvlJc w:val="left"/>
      <w:pPr>
        <w:ind w:left="8874" w:hanging="184"/>
      </w:pPr>
      <w:rPr>
        <w:rFonts w:hint="default"/>
        <w:lang w:val="zh-CN" w:eastAsia="zh-CN" w:bidi="zh-CN"/>
      </w:rPr>
    </w:lvl>
    <w:lvl w:ilvl="8" w:tentative="0">
      <w:start w:val="0"/>
      <w:numFmt w:val="bullet"/>
      <w:lvlText w:val="•"/>
      <w:lvlJc w:val="left"/>
      <w:pPr>
        <w:ind w:left="9884" w:hanging="184"/>
      </w:pPr>
      <w:rPr>
        <w:rFonts w:hint="default"/>
        <w:lang w:val="zh-CN" w:eastAsia="zh-CN" w:bidi="zh-CN"/>
      </w:rPr>
    </w:lvl>
  </w:abstractNum>
  <w:abstractNum w:abstractNumId="53">
    <w:nsid w:val="18F74015"/>
    <w:multiLevelType w:val="multilevel"/>
    <w:tmpl w:val="18F74015"/>
    <w:lvl w:ilvl="0" w:tentative="0">
      <w:start w:val="1"/>
      <w:numFmt w:val="decimal"/>
      <w:lvlText w:val="（%1）"/>
      <w:lvlJc w:val="left"/>
      <w:pPr>
        <w:ind w:left="1800" w:hanging="604"/>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810" w:hanging="604"/>
      </w:pPr>
      <w:rPr>
        <w:rFonts w:hint="default"/>
        <w:lang w:val="zh-CN" w:eastAsia="zh-CN" w:bidi="zh-CN"/>
      </w:rPr>
    </w:lvl>
    <w:lvl w:ilvl="2" w:tentative="0">
      <w:start w:val="0"/>
      <w:numFmt w:val="bullet"/>
      <w:lvlText w:val="•"/>
      <w:lvlJc w:val="left"/>
      <w:pPr>
        <w:ind w:left="3821" w:hanging="604"/>
      </w:pPr>
      <w:rPr>
        <w:rFonts w:hint="default"/>
        <w:lang w:val="zh-CN" w:eastAsia="zh-CN" w:bidi="zh-CN"/>
      </w:rPr>
    </w:lvl>
    <w:lvl w:ilvl="3" w:tentative="0">
      <w:start w:val="0"/>
      <w:numFmt w:val="bullet"/>
      <w:lvlText w:val="•"/>
      <w:lvlJc w:val="left"/>
      <w:pPr>
        <w:ind w:left="4831" w:hanging="604"/>
      </w:pPr>
      <w:rPr>
        <w:rFonts w:hint="default"/>
        <w:lang w:val="zh-CN" w:eastAsia="zh-CN" w:bidi="zh-CN"/>
      </w:rPr>
    </w:lvl>
    <w:lvl w:ilvl="4" w:tentative="0">
      <w:start w:val="0"/>
      <w:numFmt w:val="bullet"/>
      <w:lvlText w:val="•"/>
      <w:lvlJc w:val="left"/>
      <w:pPr>
        <w:ind w:left="5842" w:hanging="604"/>
      </w:pPr>
      <w:rPr>
        <w:rFonts w:hint="default"/>
        <w:lang w:val="zh-CN" w:eastAsia="zh-CN" w:bidi="zh-CN"/>
      </w:rPr>
    </w:lvl>
    <w:lvl w:ilvl="5" w:tentative="0">
      <w:start w:val="0"/>
      <w:numFmt w:val="bullet"/>
      <w:lvlText w:val="•"/>
      <w:lvlJc w:val="left"/>
      <w:pPr>
        <w:ind w:left="6853" w:hanging="604"/>
      </w:pPr>
      <w:rPr>
        <w:rFonts w:hint="default"/>
        <w:lang w:val="zh-CN" w:eastAsia="zh-CN" w:bidi="zh-CN"/>
      </w:rPr>
    </w:lvl>
    <w:lvl w:ilvl="6" w:tentative="0">
      <w:start w:val="0"/>
      <w:numFmt w:val="bullet"/>
      <w:lvlText w:val="•"/>
      <w:lvlJc w:val="left"/>
      <w:pPr>
        <w:ind w:left="7863" w:hanging="604"/>
      </w:pPr>
      <w:rPr>
        <w:rFonts w:hint="default"/>
        <w:lang w:val="zh-CN" w:eastAsia="zh-CN" w:bidi="zh-CN"/>
      </w:rPr>
    </w:lvl>
    <w:lvl w:ilvl="7" w:tentative="0">
      <w:start w:val="0"/>
      <w:numFmt w:val="bullet"/>
      <w:lvlText w:val="•"/>
      <w:lvlJc w:val="left"/>
      <w:pPr>
        <w:ind w:left="8874" w:hanging="604"/>
      </w:pPr>
      <w:rPr>
        <w:rFonts w:hint="default"/>
        <w:lang w:val="zh-CN" w:eastAsia="zh-CN" w:bidi="zh-CN"/>
      </w:rPr>
    </w:lvl>
    <w:lvl w:ilvl="8" w:tentative="0">
      <w:start w:val="0"/>
      <w:numFmt w:val="bullet"/>
      <w:lvlText w:val="•"/>
      <w:lvlJc w:val="left"/>
      <w:pPr>
        <w:ind w:left="9884" w:hanging="604"/>
      </w:pPr>
      <w:rPr>
        <w:rFonts w:hint="default"/>
        <w:lang w:val="zh-CN" w:eastAsia="zh-CN" w:bidi="zh-CN"/>
      </w:rPr>
    </w:lvl>
  </w:abstractNum>
  <w:abstractNum w:abstractNumId="54">
    <w:nsid w:val="1ACDE60F"/>
    <w:multiLevelType w:val="multilevel"/>
    <w:tmpl w:val="1ACDE60F"/>
    <w:lvl w:ilvl="0" w:tentative="0">
      <w:start w:val="1"/>
      <w:numFmt w:val="decimal"/>
      <w:lvlText w:val="%1."/>
      <w:lvlJc w:val="left"/>
      <w:pPr>
        <w:ind w:left="2480" w:hanging="201"/>
        <w:jc w:val="left"/>
      </w:pPr>
      <w:rPr>
        <w:rFonts w:hint="default" w:ascii="微软雅黑" w:hAnsi="微软雅黑" w:eastAsia="微软雅黑" w:cs="微软雅黑"/>
        <w:color w:val="333333"/>
        <w:spacing w:val="-3"/>
        <w:w w:val="100"/>
        <w:sz w:val="22"/>
        <w:szCs w:val="22"/>
        <w:lang w:val="zh-CN" w:eastAsia="zh-CN" w:bidi="zh-CN"/>
      </w:rPr>
    </w:lvl>
    <w:lvl w:ilvl="1" w:tentative="0">
      <w:start w:val="0"/>
      <w:numFmt w:val="bullet"/>
      <w:lvlText w:val="•"/>
      <w:lvlJc w:val="left"/>
      <w:pPr>
        <w:ind w:left="3422" w:hanging="201"/>
      </w:pPr>
      <w:rPr>
        <w:rFonts w:hint="default"/>
        <w:lang w:val="zh-CN" w:eastAsia="zh-CN" w:bidi="zh-CN"/>
      </w:rPr>
    </w:lvl>
    <w:lvl w:ilvl="2" w:tentative="0">
      <w:start w:val="0"/>
      <w:numFmt w:val="bullet"/>
      <w:lvlText w:val="•"/>
      <w:lvlJc w:val="left"/>
      <w:pPr>
        <w:ind w:left="4365" w:hanging="201"/>
      </w:pPr>
      <w:rPr>
        <w:rFonts w:hint="default"/>
        <w:lang w:val="zh-CN" w:eastAsia="zh-CN" w:bidi="zh-CN"/>
      </w:rPr>
    </w:lvl>
    <w:lvl w:ilvl="3" w:tentative="0">
      <w:start w:val="0"/>
      <w:numFmt w:val="bullet"/>
      <w:lvlText w:val="•"/>
      <w:lvlJc w:val="left"/>
      <w:pPr>
        <w:ind w:left="5307" w:hanging="201"/>
      </w:pPr>
      <w:rPr>
        <w:rFonts w:hint="default"/>
        <w:lang w:val="zh-CN" w:eastAsia="zh-CN" w:bidi="zh-CN"/>
      </w:rPr>
    </w:lvl>
    <w:lvl w:ilvl="4" w:tentative="0">
      <w:start w:val="0"/>
      <w:numFmt w:val="bullet"/>
      <w:lvlText w:val="•"/>
      <w:lvlJc w:val="left"/>
      <w:pPr>
        <w:ind w:left="6250" w:hanging="201"/>
      </w:pPr>
      <w:rPr>
        <w:rFonts w:hint="default"/>
        <w:lang w:val="zh-CN" w:eastAsia="zh-CN" w:bidi="zh-CN"/>
      </w:rPr>
    </w:lvl>
    <w:lvl w:ilvl="5" w:tentative="0">
      <w:start w:val="0"/>
      <w:numFmt w:val="bullet"/>
      <w:lvlText w:val="•"/>
      <w:lvlJc w:val="left"/>
      <w:pPr>
        <w:ind w:left="7193" w:hanging="201"/>
      </w:pPr>
      <w:rPr>
        <w:rFonts w:hint="default"/>
        <w:lang w:val="zh-CN" w:eastAsia="zh-CN" w:bidi="zh-CN"/>
      </w:rPr>
    </w:lvl>
    <w:lvl w:ilvl="6" w:tentative="0">
      <w:start w:val="0"/>
      <w:numFmt w:val="bullet"/>
      <w:lvlText w:val="•"/>
      <w:lvlJc w:val="left"/>
      <w:pPr>
        <w:ind w:left="8135" w:hanging="201"/>
      </w:pPr>
      <w:rPr>
        <w:rFonts w:hint="default"/>
        <w:lang w:val="zh-CN" w:eastAsia="zh-CN" w:bidi="zh-CN"/>
      </w:rPr>
    </w:lvl>
    <w:lvl w:ilvl="7" w:tentative="0">
      <w:start w:val="0"/>
      <w:numFmt w:val="bullet"/>
      <w:lvlText w:val="•"/>
      <w:lvlJc w:val="left"/>
      <w:pPr>
        <w:ind w:left="9078" w:hanging="201"/>
      </w:pPr>
      <w:rPr>
        <w:rFonts w:hint="default"/>
        <w:lang w:val="zh-CN" w:eastAsia="zh-CN" w:bidi="zh-CN"/>
      </w:rPr>
    </w:lvl>
    <w:lvl w:ilvl="8" w:tentative="0">
      <w:start w:val="0"/>
      <w:numFmt w:val="bullet"/>
      <w:lvlText w:val="•"/>
      <w:lvlJc w:val="left"/>
      <w:pPr>
        <w:ind w:left="10020" w:hanging="201"/>
      </w:pPr>
      <w:rPr>
        <w:rFonts w:hint="default"/>
        <w:lang w:val="zh-CN" w:eastAsia="zh-CN" w:bidi="zh-CN"/>
      </w:rPr>
    </w:lvl>
  </w:abstractNum>
  <w:abstractNum w:abstractNumId="55">
    <w:nsid w:val="1BCBBCF0"/>
    <w:multiLevelType w:val="multilevel"/>
    <w:tmpl w:val="1BCBBCF0"/>
    <w:lvl w:ilvl="0" w:tentative="0">
      <w:start w:val="1"/>
      <w:numFmt w:val="decimal"/>
      <w:lvlText w:val="%1."/>
      <w:lvlJc w:val="left"/>
      <w:pPr>
        <w:ind w:left="2463"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3404" w:hanging="184"/>
      </w:pPr>
      <w:rPr>
        <w:rFonts w:hint="default"/>
        <w:lang w:val="zh-CN" w:eastAsia="zh-CN" w:bidi="zh-CN"/>
      </w:rPr>
    </w:lvl>
    <w:lvl w:ilvl="2" w:tentative="0">
      <w:start w:val="0"/>
      <w:numFmt w:val="bullet"/>
      <w:lvlText w:val="•"/>
      <w:lvlJc w:val="left"/>
      <w:pPr>
        <w:ind w:left="4349" w:hanging="184"/>
      </w:pPr>
      <w:rPr>
        <w:rFonts w:hint="default"/>
        <w:lang w:val="zh-CN" w:eastAsia="zh-CN" w:bidi="zh-CN"/>
      </w:rPr>
    </w:lvl>
    <w:lvl w:ilvl="3" w:tentative="0">
      <w:start w:val="0"/>
      <w:numFmt w:val="bullet"/>
      <w:lvlText w:val="•"/>
      <w:lvlJc w:val="left"/>
      <w:pPr>
        <w:ind w:left="5293" w:hanging="184"/>
      </w:pPr>
      <w:rPr>
        <w:rFonts w:hint="default"/>
        <w:lang w:val="zh-CN" w:eastAsia="zh-CN" w:bidi="zh-CN"/>
      </w:rPr>
    </w:lvl>
    <w:lvl w:ilvl="4" w:tentative="0">
      <w:start w:val="0"/>
      <w:numFmt w:val="bullet"/>
      <w:lvlText w:val="•"/>
      <w:lvlJc w:val="left"/>
      <w:pPr>
        <w:ind w:left="6238" w:hanging="184"/>
      </w:pPr>
      <w:rPr>
        <w:rFonts w:hint="default"/>
        <w:lang w:val="zh-CN" w:eastAsia="zh-CN" w:bidi="zh-CN"/>
      </w:rPr>
    </w:lvl>
    <w:lvl w:ilvl="5" w:tentative="0">
      <w:start w:val="0"/>
      <w:numFmt w:val="bullet"/>
      <w:lvlText w:val="•"/>
      <w:lvlJc w:val="left"/>
      <w:pPr>
        <w:ind w:left="7183" w:hanging="184"/>
      </w:pPr>
      <w:rPr>
        <w:rFonts w:hint="default"/>
        <w:lang w:val="zh-CN" w:eastAsia="zh-CN" w:bidi="zh-CN"/>
      </w:rPr>
    </w:lvl>
    <w:lvl w:ilvl="6" w:tentative="0">
      <w:start w:val="0"/>
      <w:numFmt w:val="bullet"/>
      <w:lvlText w:val="•"/>
      <w:lvlJc w:val="left"/>
      <w:pPr>
        <w:ind w:left="8127" w:hanging="184"/>
      </w:pPr>
      <w:rPr>
        <w:rFonts w:hint="default"/>
        <w:lang w:val="zh-CN" w:eastAsia="zh-CN" w:bidi="zh-CN"/>
      </w:rPr>
    </w:lvl>
    <w:lvl w:ilvl="7" w:tentative="0">
      <w:start w:val="0"/>
      <w:numFmt w:val="bullet"/>
      <w:lvlText w:val="•"/>
      <w:lvlJc w:val="left"/>
      <w:pPr>
        <w:ind w:left="9072" w:hanging="184"/>
      </w:pPr>
      <w:rPr>
        <w:rFonts w:hint="default"/>
        <w:lang w:val="zh-CN" w:eastAsia="zh-CN" w:bidi="zh-CN"/>
      </w:rPr>
    </w:lvl>
    <w:lvl w:ilvl="8" w:tentative="0">
      <w:start w:val="0"/>
      <w:numFmt w:val="bullet"/>
      <w:lvlText w:val="•"/>
      <w:lvlJc w:val="left"/>
      <w:pPr>
        <w:ind w:left="10016" w:hanging="184"/>
      </w:pPr>
      <w:rPr>
        <w:rFonts w:hint="default"/>
        <w:lang w:val="zh-CN" w:eastAsia="zh-CN" w:bidi="zh-CN"/>
      </w:rPr>
    </w:lvl>
  </w:abstractNum>
  <w:abstractNum w:abstractNumId="56">
    <w:nsid w:val="1C257C7B"/>
    <w:multiLevelType w:val="multilevel"/>
    <w:tmpl w:val="1C257C7B"/>
    <w:lvl w:ilvl="0" w:tentative="0">
      <w:start w:val="1"/>
      <w:numFmt w:val="decimal"/>
      <w:lvlText w:val="%1."/>
      <w:lvlJc w:val="left"/>
      <w:pPr>
        <w:ind w:left="1800"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2810" w:hanging="184"/>
      </w:pPr>
      <w:rPr>
        <w:rFonts w:hint="default"/>
        <w:lang w:val="zh-CN" w:eastAsia="zh-CN" w:bidi="zh-CN"/>
      </w:rPr>
    </w:lvl>
    <w:lvl w:ilvl="2" w:tentative="0">
      <w:start w:val="0"/>
      <w:numFmt w:val="bullet"/>
      <w:lvlText w:val="•"/>
      <w:lvlJc w:val="left"/>
      <w:pPr>
        <w:ind w:left="3821" w:hanging="184"/>
      </w:pPr>
      <w:rPr>
        <w:rFonts w:hint="default"/>
        <w:lang w:val="zh-CN" w:eastAsia="zh-CN" w:bidi="zh-CN"/>
      </w:rPr>
    </w:lvl>
    <w:lvl w:ilvl="3" w:tentative="0">
      <w:start w:val="0"/>
      <w:numFmt w:val="bullet"/>
      <w:lvlText w:val="•"/>
      <w:lvlJc w:val="left"/>
      <w:pPr>
        <w:ind w:left="4831" w:hanging="184"/>
      </w:pPr>
      <w:rPr>
        <w:rFonts w:hint="default"/>
        <w:lang w:val="zh-CN" w:eastAsia="zh-CN" w:bidi="zh-CN"/>
      </w:rPr>
    </w:lvl>
    <w:lvl w:ilvl="4" w:tentative="0">
      <w:start w:val="0"/>
      <w:numFmt w:val="bullet"/>
      <w:lvlText w:val="•"/>
      <w:lvlJc w:val="left"/>
      <w:pPr>
        <w:ind w:left="5842" w:hanging="184"/>
      </w:pPr>
      <w:rPr>
        <w:rFonts w:hint="default"/>
        <w:lang w:val="zh-CN" w:eastAsia="zh-CN" w:bidi="zh-CN"/>
      </w:rPr>
    </w:lvl>
    <w:lvl w:ilvl="5" w:tentative="0">
      <w:start w:val="0"/>
      <w:numFmt w:val="bullet"/>
      <w:lvlText w:val="•"/>
      <w:lvlJc w:val="left"/>
      <w:pPr>
        <w:ind w:left="6853" w:hanging="184"/>
      </w:pPr>
      <w:rPr>
        <w:rFonts w:hint="default"/>
        <w:lang w:val="zh-CN" w:eastAsia="zh-CN" w:bidi="zh-CN"/>
      </w:rPr>
    </w:lvl>
    <w:lvl w:ilvl="6" w:tentative="0">
      <w:start w:val="0"/>
      <w:numFmt w:val="bullet"/>
      <w:lvlText w:val="•"/>
      <w:lvlJc w:val="left"/>
      <w:pPr>
        <w:ind w:left="7863" w:hanging="184"/>
      </w:pPr>
      <w:rPr>
        <w:rFonts w:hint="default"/>
        <w:lang w:val="zh-CN" w:eastAsia="zh-CN" w:bidi="zh-CN"/>
      </w:rPr>
    </w:lvl>
    <w:lvl w:ilvl="7" w:tentative="0">
      <w:start w:val="0"/>
      <w:numFmt w:val="bullet"/>
      <w:lvlText w:val="•"/>
      <w:lvlJc w:val="left"/>
      <w:pPr>
        <w:ind w:left="8874" w:hanging="184"/>
      </w:pPr>
      <w:rPr>
        <w:rFonts w:hint="default"/>
        <w:lang w:val="zh-CN" w:eastAsia="zh-CN" w:bidi="zh-CN"/>
      </w:rPr>
    </w:lvl>
    <w:lvl w:ilvl="8" w:tentative="0">
      <w:start w:val="0"/>
      <w:numFmt w:val="bullet"/>
      <w:lvlText w:val="•"/>
      <w:lvlJc w:val="left"/>
      <w:pPr>
        <w:ind w:left="9884" w:hanging="184"/>
      </w:pPr>
      <w:rPr>
        <w:rFonts w:hint="default"/>
        <w:lang w:val="zh-CN" w:eastAsia="zh-CN" w:bidi="zh-CN"/>
      </w:rPr>
    </w:lvl>
  </w:abstractNum>
  <w:abstractNum w:abstractNumId="57">
    <w:nsid w:val="23E97754"/>
    <w:multiLevelType w:val="multilevel"/>
    <w:tmpl w:val="23E97754"/>
    <w:lvl w:ilvl="0" w:tentative="0">
      <w:start w:val="1"/>
      <w:numFmt w:val="decimal"/>
      <w:lvlText w:val="%1."/>
      <w:lvlJc w:val="left"/>
      <w:pPr>
        <w:ind w:left="1983"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2972" w:hanging="184"/>
      </w:pPr>
      <w:rPr>
        <w:rFonts w:hint="default"/>
        <w:lang w:val="zh-CN" w:eastAsia="zh-CN" w:bidi="zh-CN"/>
      </w:rPr>
    </w:lvl>
    <w:lvl w:ilvl="2" w:tentative="0">
      <w:start w:val="0"/>
      <w:numFmt w:val="bullet"/>
      <w:lvlText w:val="•"/>
      <w:lvlJc w:val="left"/>
      <w:pPr>
        <w:ind w:left="3965" w:hanging="184"/>
      </w:pPr>
      <w:rPr>
        <w:rFonts w:hint="default"/>
        <w:lang w:val="zh-CN" w:eastAsia="zh-CN" w:bidi="zh-CN"/>
      </w:rPr>
    </w:lvl>
    <w:lvl w:ilvl="3" w:tentative="0">
      <w:start w:val="0"/>
      <w:numFmt w:val="bullet"/>
      <w:lvlText w:val="•"/>
      <w:lvlJc w:val="left"/>
      <w:pPr>
        <w:ind w:left="4957" w:hanging="184"/>
      </w:pPr>
      <w:rPr>
        <w:rFonts w:hint="default"/>
        <w:lang w:val="zh-CN" w:eastAsia="zh-CN" w:bidi="zh-CN"/>
      </w:rPr>
    </w:lvl>
    <w:lvl w:ilvl="4" w:tentative="0">
      <w:start w:val="0"/>
      <w:numFmt w:val="bullet"/>
      <w:lvlText w:val="•"/>
      <w:lvlJc w:val="left"/>
      <w:pPr>
        <w:ind w:left="5950" w:hanging="184"/>
      </w:pPr>
      <w:rPr>
        <w:rFonts w:hint="default"/>
        <w:lang w:val="zh-CN" w:eastAsia="zh-CN" w:bidi="zh-CN"/>
      </w:rPr>
    </w:lvl>
    <w:lvl w:ilvl="5" w:tentative="0">
      <w:start w:val="0"/>
      <w:numFmt w:val="bullet"/>
      <w:lvlText w:val="•"/>
      <w:lvlJc w:val="left"/>
      <w:pPr>
        <w:ind w:left="6943" w:hanging="184"/>
      </w:pPr>
      <w:rPr>
        <w:rFonts w:hint="default"/>
        <w:lang w:val="zh-CN" w:eastAsia="zh-CN" w:bidi="zh-CN"/>
      </w:rPr>
    </w:lvl>
    <w:lvl w:ilvl="6" w:tentative="0">
      <w:start w:val="0"/>
      <w:numFmt w:val="bullet"/>
      <w:lvlText w:val="•"/>
      <w:lvlJc w:val="left"/>
      <w:pPr>
        <w:ind w:left="7935" w:hanging="184"/>
      </w:pPr>
      <w:rPr>
        <w:rFonts w:hint="default"/>
        <w:lang w:val="zh-CN" w:eastAsia="zh-CN" w:bidi="zh-CN"/>
      </w:rPr>
    </w:lvl>
    <w:lvl w:ilvl="7" w:tentative="0">
      <w:start w:val="0"/>
      <w:numFmt w:val="bullet"/>
      <w:lvlText w:val="•"/>
      <w:lvlJc w:val="left"/>
      <w:pPr>
        <w:ind w:left="8928" w:hanging="184"/>
      </w:pPr>
      <w:rPr>
        <w:rFonts w:hint="default"/>
        <w:lang w:val="zh-CN" w:eastAsia="zh-CN" w:bidi="zh-CN"/>
      </w:rPr>
    </w:lvl>
    <w:lvl w:ilvl="8" w:tentative="0">
      <w:start w:val="0"/>
      <w:numFmt w:val="bullet"/>
      <w:lvlText w:val="•"/>
      <w:lvlJc w:val="left"/>
      <w:pPr>
        <w:ind w:left="9920" w:hanging="184"/>
      </w:pPr>
      <w:rPr>
        <w:rFonts w:hint="default"/>
        <w:lang w:val="zh-CN" w:eastAsia="zh-CN" w:bidi="zh-CN"/>
      </w:rPr>
    </w:lvl>
  </w:abstractNum>
  <w:abstractNum w:abstractNumId="58">
    <w:nsid w:val="243FCF68"/>
    <w:multiLevelType w:val="multilevel"/>
    <w:tmpl w:val="243FCF68"/>
    <w:lvl w:ilvl="0" w:tentative="0">
      <w:start w:val="1"/>
      <w:numFmt w:val="decimal"/>
      <w:lvlText w:val="（%1）"/>
      <w:lvlJc w:val="left"/>
      <w:pPr>
        <w:ind w:left="2900" w:hanging="621"/>
        <w:jc w:val="left"/>
      </w:pPr>
      <w:rPr>
        <w:rFonts w:hint="default" w:ascii="微软雅黑" w:hAnsi="微软雅黑" w:eastAsia="微软雅黑" w:cs="微软雅黑"/>
        <w:color w:val="333333"/>
        <w:spacing w:val="-2"/>
        <w:w w:val="100"/>
        <w:sz w:val="22"/>
        <w:szCs w:val="22"/>
        <w:lang w:val="zh-CN" w:eastAsia="zh-CN" w:bidi="zh-CN"/>
      </w:rPr>
    </w:lvl>
    <w:lvl w:ilvl="1" w:tentative="0">
      <w:start w:val="0"/>
      <w:numFmt w:val="bullet"/>
      <w:lvlText w:val="•"/>
      <w:lvlJc w:val="left"/>
      <w:pPr>
        <w:ind w:left="3800" w:hanging="621"/>
      </w:pPr>
      <w:rPr>
        <w:rFonts w:hint="default"/>
        <w:lang w:val="zh-CN" w:eastAsia="zh-CN" w:bidi="zh-CN"/>
      </w:rPr>
    </w:lvl>
    <w:lvl w:ilvl="2" w:tentative="0">
      <w:start w:val="0"/>
      <w:numFmt w:val="bullet"/>
      <w:lvlText w:val="•"/>
      <w:lvlJc w:val="left"/>
      <w:pPr>
        <w:ind w:left="4701" w:hanging="621"/>
      </w:pPr>
      <w:rPr>
        <w:rFonts w:hint="default"/>
        <w:lang w:val="zh-CN" w:eastAsia="zh-CN" w:bidi="zh-CN"/>
      </w:rPr>
    </w:lvl>
    <w:lvl w:ilvl="3" w:tentative="0">
      <w:start w:val="0"/>
      <w:numFmt w:val="bullet"/>
      <w:lvlText w:val="•"/>
      <w:lvlJc w:val="left"/>
      <w:pPr>
        <w:ind w:left="5601" w:hanging="621"/>
      </w:pPr>
      <w:rPr>
        <w:rFonts w:hint="default"/>
        <w:lang w:val="zh-CN" w:eastAsia="zh-CN" w:bidi="zh-CN"/>
      </w:rPr>
    </w:lvl>
    <w:lvl w:ilvl="4" w:tentative="0">
      <w:start w:val="0"/>
      <w:numFmt w:val="bullet"/>
      <w:lvlText w:val="•"/>
      <w:lvlJc w:val="left"/>
      <w:pPr>
        <w:ind w:left="6502" w:hanging="621"/>
      </w:pPr>
      <w:rPr>
        <w:rFonts w:hint="default"/>
        <w:lang w:val="zh-CN" w:eastAsia="zh-CN" w:bidi="zh-CN"/>
      </w:rPr>
    </w:lvl>
    <w:lvl w:ilvl="5" w:tentative="0">
      <w:start w:val="0"/>
      <w:numFmt w:val="bullet"/>
      <w:lvlText w:val="•"/>
      <w:lvlJc w:val="left"/>
      <w:pPr>
        <w:ind w:left="7403" w:hanging="621"/>
      </w:pPr>
      <w:rPr>
        <w:rFonts w:hint="default"/>
        <w:lang w:val="zh-CN" w:eastAsia="zh-CN" w:bidi="zh-CN"/>
      </w:rPr>
    </w:lvl>
    <w:lvl w:ilvl="6" w:tentative="0">
      <w:start w:val="0"/>
      <w:numFmt w:val="bullet"/>
      <w:lvlText w:val="•"/>
      <w:lvlJc w:val="left"/>
      <w:pPr>
        <w:ind w:left="8303" w:hanging="621"/>
      </w:pPr>
      <w:rPr>
        <w:rFonts w:hint="default"/>
        <w:lang w:val="zh-CN" w:eastAsia="zh-CN" w:bidi="zh-CN"/>
      </w:rPr>
    </w:lvl>
    <w:lvl w:ilvl="7" w:tentative="0">
      <w:start w:val="0"/>
      <w:numFmt w:val="bullet"/>
      <w:lvlText w:val="•"/>
      <w:lvlJc w:val="left"/>
      <w:pPr>
        <w:ind w:left="9204" w:hanging="621"/>
      </w:pPr>
      <w:rPr>
        <w:rFonts w:hint="default"/>
        <w:lang w:val="zh-CN" w:eastAsia="zh-CN" w:bidi="zh-CN"/>
      </w:rPr>
    </w:lvl>
    <w:lvl w:ilvl="8" w:tentative="0">
      <w:start w:val="0"/>
      <w:numFmt w:val="bullet"/>
      <w:lvlText w:val="•"/>
      <w:lvlJc w:val="left"/>
      <w:pPr>
        <w:ind w:left="10104" w:hanging="621"/>
      </w:pPr>
      <w:rPr>
        <w:rFonts w:hint="default"/>
        <w:lang w:val="zh-CN" w:eastAsia="zh-CN" w:bidi="zh-CN"/>
      </w:rPr>
    </w:lvl>
  </w:abstractNum>
  <w:abstractNum w:abstractNumId="59">
    <w:nsid w:val="2470EC97"/>
    <w:multiLevelType w:val="multilevel"/>
    <w:tmpl w:val="2470EC97"/>
    <w:lvl w:ilvl="0" w:tentative="0">
      <w:start w:val="1"/>
      <w:numFmt w:val="decimal"/>
      <w:lvlText w:val="（%1）"/>
      <w:lvlJc w:val="left"/>
      <w:pPr>
        <w:ind w:left="2900" w:hanging="621"/>
        <w:jc w:val="left"/>
      </w:pPr>
      <w:rPr>
        <w:rFonts w:hint="default" w:ascii="微软雅黑" w:hAnsi="微软雅黑" w:eastAsia="微软雅黑" w:cs="微软雅黑"/>
        <w:spacing w:val="-2"/>
        <w:w w:val="100"/>
        <w:sz w:val="22"/>
        <w:szCs w:val="22"/>
        <w:lang w:val="zh-CN" w:eastAsia="zh-CN" w:bidi="zh-CN"/>
      </w:rPr>
    </w:lvl>
    <w:lvl w:ilvl="1" w:tentative="0">
      <w:start w:val="0"/>
      <w:numFmt w:val="bullet"/>
      <w:lvlText w:val="•"/>
      <w:lvlJc w:val="left"/>
      <w:pPr>
        <w:ind w:left="3800" w:hanging="621"/>
      </w:pPr>
      <w:rPr>
        <w:rFonts w:hint="default"/>
        <w:lang w:val="zh-CN" w:eastAsia="zh-CN" w:bidi="zh-CN"/>
      </w:rPr>
    </w:lvl>
    <w:lvl w:ilvl="2" w:tentative="0">
      <w:start w:val="0"/>
      <w:numFmt w:val="bullet"/>
      <w:lvlText w:val="•"/>
      <w:lvlJc w:val="left"/>
      <w:pPr>
        <w:ind w:left="4701" w:hanging="621"/>
      </w:pPr>
      <w:rPr>
        <w:rFonts w:hint="default"/>
        <w:lang w:val="zh-CN" w:eastAsia="zh-CN" w:bidi="zh-CN"/>
      </w:rPr>
    </w:lvl>
    <w:lvl w:ilvl="3" w:tentative="0">
      <w:start w:val="0"/>
      <w:numFmt w:val="bullet"/>
      <w:lvlText w:val="•"/>
      <w:lvlJc w:val="left"/>
      <w:pPr>
        <w:ind w:left="5601" w:hanging="621"/>
      </w:pPr>
      <w:rPr>
        <w:rFonts w:hint="default"/>
        <w:lang w:val="zh-CN" w:eastAsia="zh-CN" w:bidi="zh-CN"/>
      </w:rPr>
    </w:lvl>
    <w:lvl w:ilvl="4" w:tentative="0">
      <w:start w:val="0"/>
      <w:numFmt w:val="bullet"/>
      <w:lvlText w:val="•"/>
      <w:lvlJc w:val="left"/>
      <w:pPr>
        <w:ind w:left="6502" w:hanging="621"/>
      </w:pPr>
      <w:rPr>
        <w:rFonts w:hint="default"/>
        <w:lang w:val="zh-CN" w:eastAsia="zh-CN" w:bidi="zh-CN"/>
      </w:rPr>
    </w:lvl>
    <w:lvl w:ilvl="5" w:tentative="0">
      <w:start w:val="0"/>
      <w:numFmt w:val="bullet"/>
      <w:lvlText w:val="•"/>
      <w:lvlJc w:val="left"/>
      <w:pPr>
        <w:ind w:left="7403" w:hanging="621"/>
      </w:pPr>
      <w:rPr>
        <w:rFonts w:hint="default"/>
        <w:lang w:val="zh-CN" w:eastAsia="zh-CN" w:bidi="zh-CN"/>
      </w:rPr>
    </w:lvl>
    <w:lvl w:ilvl="6" w:tentative="0">
      <w:start w:val="0"/>
      <w:numFmt w:val="bullet"/>
      <w:lvlText w:val="•"/>
      <w:lvlJc w:val="left"/>
      <w:pPr>
        <w:ind w:left="8303" w:hanging="621"/>
      </w:pPr>
      <w:rPr>
        <w:rFonts w:hint="default"/>
        <w:lang w:val="zh-CN" w:eastAsia="zh-CN" w:bidi="zh-CN"/>
      </w:rPr>
    </w:lvl>
    <w:lvl w:ilvl="7" w:tentative="0">
      <w:start w:val="0"/>
      <w:numFmt w:val="bullet"/>
      <w:lvlText w:val="•"/>
      <w:lvlJc w:val="left"/>
      <w:pPr>
        <w:ind w:left="9204" w:hanging="621"/>
      </w:pPr>
      <w:rPr>
        <w:rFonts w:hint="default"/>
        <w:lang w:val="zh-CN" w:eastAsia="zh-CN" w:bidi="zh-CN"/>
      </w:rPr>
    </w:lvl>
    <w:lvl w:ilvl="8" w:tentative="0">
      <w:start w:val="0"/>
      <w:numFmt w:val="bullet"/>
      <w:lvlText w:val="•"/>
      <w:lvlJc w:val="left"/>
      <w:pPr>
        <w:ind w:left="10104" w:hanging="621"/>
      </w:pPr>
      <w:rPr>
        <w:rFonts w:hint="default"/>
        <w:lang w:val="zh-CN" w:eastAsia="zh-CN" w:bidi="zh-CN"/>
      </w:rPr>
    </w:lvl>
  </w:abstractNum>
  <w:abstractNum w:abstractNumId="60">
    <w:nsid w:val="25B654F3"/>
    <w:multiLevelType w:val="multilevel"/>
    <w:tmpl w:val="25B654F3"/>
    <w:lvl w:ilvl="0" w:tentative="0">
      <w:start w:val="1"/>
      <w:numFmt w:val="decimal"/>
      <w:lvlText w:val="%1."/>
      <w:lvlJc w:val="left"/>
      <w:pPr>
        <w:ind w:left="1800" w:hanging="201"/>
        <w:jc w:val="left"/>
      </w:pPr>
      <w:rPr>
        <w:rFonts w:hint="default"/>
        <w:spacing w:val="-3"/>
        <w:w w:val="100"/>
        <w:lang w:val="zh-CN" w:eastAsia="zh-CN" w:bidi="zh-CN"/>
      </w:rPr>
    </w:lvl>
    <w:lvl w:ilvl="1" w:tentative="0">
      <w:start w:val="0"/>
      <w:numFmt w:val="bullet"/>
      <w:lvlText w:val="•"/>
      <w:lvlJc w:val="left"/>
      <w:pPr>
        <w:ind w:left="2810" w:hanging="201"/>
      </w:pPr>
      <w:rPr>
        <w:rFonts w:hint="default"/>
        <w:lang w:val="zh-CN" w:eastAsia="zh-CN" w:bidi="zh-CN"/>
      </w:rPr>
    </w:lvl>
    <w:lvl w:ilvl="2" w:tentative="0">
      <w:start w:val="0"/>
      <w:numFmt w:val="bullet"/>
      <w:lvlText w:val="•"/>
      <w:lvlJc w:val="left"/>
      <w:pPr>
        <w:ind w:left="3821" w:hanging="201"/>
      </w:pPr>
      <w:rPr>
        <w:rFonts w:hint="default"/>
        <w:lang w:val="zh-CN" w:eastAsia="zh-CN" w:bidi="zh-CN"/>
      </w:rPr>
    </w:lvl>
    <w:lvl w:ilvl="3" w:tentative="0">
      <w:start w:val="0"/>
      <w:numFmt w:val="bullet"/>
      <w:lvlText w:val="•"/>
      <w:lvlJc w:val="left"/>
      <w:pPr>
        <w:ind w:left="4831" w:hanging="201"/>
      </w:pPr>
      <w:rPr>
        <w:rFonts w:hint="default"/>
        <w:lang w:val="zh-CN" w:eastAsia="zh-CN" w:bidi="zh-CN"/>
      </w:rPr>
    </w:lvl>
    <w:lvl w:ilvl="4" w:tentative="0">
      <w:start w:val="0"/>
      <w:numFmt w:val="bullet"/>
      <w:lvlText w:val="•"/>
      <w:lvlJc w:val="left"/>
      <w:pPr>
        <w:ind w:left="5842" w:hanging="201"/>
      </w:pPr>
      <w:rPr>
        <w:rFonts w:hint="default"/>
        <w:lang w:val="zh-CN" w:eastAsia="zh-CN" w:bidi="zh-CN"/>
      </w:rPr>
    </w:lvl>
    <w:lvl w:ilvl="5" w:tentative="0">
      <w:start w:val="0"/>
      <w:numFmt w:val="bullet"/>
      <w:lvlText w:val="•"/>
      <w:lvlJc w:val="left"/>
      <w:pPr>
        <w:ind w:left="6853" w:hanging="201"/>
      </w:pPr>
      <w:rPr>
        <w:rFonts w:hint="default"/>
        <w:lang w:val="zh-CN" w:eastAsia="zh-CN" w:bidi="zh-CN"/>
      </w:rPr>
    </w:lvl>
    <w:lvl w:ilvl="6" w:tentative="0">
      <w:start w:val="0"/>
      <w:numFmt w:val="bullet"/>
      <w:lvlText w:val="•"/>
      <w:lvlJc w:val="left"/>
      <w:pPr>
        <w:ind w:left="7863" w:hanging="201"/>
      </w:pPr>
      <w:rPr>
        <w:rFonts w:hint="default"/>
        <w:lang w:val="zh-CN" w:eastAsia="zh-CN" w:bidi="zh-CN"/>
      </w:rPr>
    </w:lvl>
    <w:lvl w:ilvl="7" w:tentative="0">
      <w:start w:val="0"/>
      <w:numFmt w:val="bullet"/>
      <w:lvlText w:val="•"/>
      <w:lvlJc w:val="left"/>
      <w:pPr>
        <w:ind w:left="8874" w:hanging="201"/>
      </w:pPr>
      <w:rPr>
        <w:rFonts w:hint="default"/>
        <w:lang w:val="zh-CN" w:eastAsia="zh-CN" w:bidi="zh-CN"/>
      </w:rPr>
    </w:lvl>
    <w:lvl w:ilvl="8" w:tentative="0">
      <w:start w:val="0"/>
      <w:numFmt w:val="bullet"/>
      <w:lvlText w:val="•"/>
      <w:lvlJc w:val="left"/>
      <w:pPr>
        <w:ind w:left="9884" w:hanging="201"/>
      </w:pPr>
      <w:rPr>
        <w:rFonts w:hint="default"/>
        <w:lang w:val="zh-CN" w:eastAsia="zh-CN" w:bidi="zh-CN"/>
      </w:rPr>
    </w:lvl>
  </w:abstractNum>
  <w:abstractNum w:abstractNumId="61">
    <w:nsid w:val="2A8F537B"/>
    <w:multiLevelType w:val="multilevel"/>
    <w:tmpl w:val="2A8F537B"/>
    <w:lvl w:ilvl="0" w:tentative="0">
      <w:start w:val="1"/>
      <w:numFmt w:val="decimal"/>
      <w:lvlText w:val="%1."/>
      <w:lvlJc w:val="left"/>
      <w:pPr>
        <w:ind w:left="1800" w:hanging="202"/>
        <w:jc w:val="left"/>
      </w:pPr>
      <w:rPr>
        <w:rFonts w:hint="default" w:ascii="微软雅黑" w:hAnsi="微软雅黑" w:eastAsia="微软雅黑" w:cs="微软雅黑"/>
        <w:color w:val="333333"/>
        <w:w w:val="100"/>
        <w:sz w:val="22"/>
        <w:szCs w:val="22"/>
        <w:lang w:val="zh-CN" w:eastAsia="zh-CN" w:bidi="zh-CN"/>
      </w:rPr>
    </w:lvl>
    <w:lvl w:ilvl="1" w:tentative="0">
      <w:start w:val="0"/>
      <w:numFmt w:val="bullet"/>
      <w:lvlText w:val="•"/>
      <w:lvlJc w:val="left"/>
      <w:pPr>
        <w:ind w:left="2810" w:hanging="202"/>
      </w:pPr>
      <w:rPr>
        <w:rFonts w:hint="default"/>
        <w:lang w:val="zh-CN" w:eastAsia="zh-CN" w:bidi="zh-CN"/>
      </w:rPr>
    </w:lvl>
    <w:lvl w:ilvl="2" w:tentative="0">
      <w:start w:val="0"/>
      <w:numFmt w:val="bullet"/>
      <w:lvlText w:val="•"/>
      <w:lvlJc w:val="left"/>
      <w:pPr>
        <w:ind w:left="3821" w:hanging="202"/>
      </w:pPr>
      <w:rPr>
        <w:rFonts w:hint="default"/>
        <w:lang w:val="zh-CN" w:eastAsia="zh-CN" w:bidi="zh-CN"/>
      </w:rPr>
    </w:lvl>
    <w:lvl w:ilvl="3" w:tentative="0">
      <w:start w:val="0"/>
      <w:numFmt w:val="bullet"/>
      <w:lvlText w:val="•"/>
      <w:lvlJc w:val="left"/>
      <w:pPr>
        <w:ind w:left="4831" w:hanging="202"/>
      </w:pPr>
      <w:rPr>
        <w:rFonts w:hint="default"/>
        <w:lang w:val="zh-CN" w:eastAsia="zh-CN" w:bidi="zh-CN"/>
      </w:rPr>
    </w:lvl>
    <w:lvl w:ilvl="4" w:tentative="0">
      <w:start w:val="0"/>
      <w:numFmt w:val="bullet"/>
      <w:lvlText w:val="•"/>
      <w:lvlJc w:val="left"/>
      <w:pPr>
        <w:ind w:left="5842" w:hanging="202"/>
      </w:pPr>
      <w:rPr>
        <w:rFonts w:hint="default"/>
        <w:lang w:val="zh-CN" w:eastAsia="zh-CN" w:bidi="zh-CN"/>
      </w:rPr>
    </w:lvl>
    <w:lvl w:ilvl="5" w:tentative="0">
      <w:start w:val="0"/>
      <w:numFmt w:val="bullet"/>
      <w:lvlText w:val="•"/>
      <w:lvlJc w:val="left"/>
      <w:pPr>
        <w:ind w:left="6853" w:hanging="202"/>
      </w:pPr>
      <w:rPr>
        <w:rFonts w:hint="default"/>
        <w:lang w:val="zh-CN" w:eastAsia="zh-CN" w:bidi="zh-CN"/>
      </w:rPr>
    </w:lvl>
    <w:lvl w:ilvl="6" w:tentative="0">
      <w:start w:val="0"/>
      <w:numFmt w:val="bullet"/>
      <w:lvlText w:val="•"/>
      <w:lvlJc w:val="left"/>
      <w:pPr>
        <w:ind w:left="7863" w:hanging="202"/>
      </w:pPr>
      <w:rPr>
        <w:rFonts w:hint="default"/>
        <w:lang w:val="zh-CN" w:eastAsia="zh-CN" w:bidi="zh-CN"/>
      </w:rPr>
    </w:lvl>
    <w:lvl w:ilvl="7" w:tentative="0">
      <w:start w:val="0"/>
      <w:numFmt w:val="bullet"/>
      <w:lvlText w:val="•"/>
      <w:lvlJc w:val="left"/>
      <w:pPr>
        <w:ind w:left="8874" w:hanging="202"/>
      </w:pPr>
      <w:rPr>
        <w:rFonts w:hint="default"/>
        <w:lang w:val="zh-CN" w:eastAsia="zh-CN" w:bidi="zh-CN"/>
      </w:rPr>
    </w:lvl>
    <w:lvl w:ilvl="8" w:tentative="0">
      <w:start w:val="0"/>
      <w:numFmt w:val="bullet"/>
      <w:lvlText w:val="•"/>
      <w:lvlJc w:val="left"/>
      <w:pPr>
        <w:ind w:left="9884" w:hanging="202"/>
      </w:pPr>
      <w:rPr>
        <w:rFonts w:hint="default"/>
        <w:lang w:val="zh-CN" w:eastAsia="zh-CN" w:bidi="zh-CN"/>
      </w:rPr>
    </w:lvl>
  </w:abstractNum>
  <w:abstractNum w:abstractNumId="62">
    <w:nsid w:val="2F2D79CE"/>
    <w:multiLevelType w:val="multilevel"/>
    <w:tmpl w:val="2F2D79CE"/>
    <w:lvl w:ilvl="0" w:tentative="0">
      <w:start w:val="1"/>
      <w:numFmt w:val="decimal"/>
      <w:lvlText w:val="%1."/>
      <w:lvlJc w:val="left"/>
      <w:pPr>
        <w:ind w:left="1800"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2810" w:hanging="184"/>
      </w:pPr>
      <w:rPr>
        <w:rFonts w:hint="default"/>
        <w:lang w:val="zh-CN" w:eastAsia="zh-CN" w:bidi="zh-CN"/>
      </w:rPr>
    </w:lvl>
    <w:lvl w:ilvl="2" w:tentative="0">
      <w:start w:val="0"/>
      <w:numFmt w:val="bullet"/>
      <w:lvlText w:val="•"/>
      <w:lvlJc w:val="left"/>
      <w:pPr>
        <w:ind w:left="3821" w:hanging="184"/>
      </w:pPr>
      <w:rPr>
        <w:rFonts w:hint="default"/>
        <w:lang w:val="zh-CN" w:eastAsia="zh-CN" w:bidi="zh-CN"/>
      </w:rPr>
    </w:lvl>
    <w:lvl w:ilvl="3" w:tentative="0">
      <w:start w:val="0"/>
      <w:numFmt w:val="bullet"/>
      <w:lvlText w:val="•"/>
      <w:lvlJc w:val="left"/>
      <w:pPr>
        <w:ind w:left="4831" w:hanging="184"/>
      </w:pPr>
      <w:rPr>
        <w:rFonts w:hint="default"/>
        <w:lang w:val="zh-CN" w:eastAsia="zh-CN" w:bidi="zh-CN"/>
      </w:rPr>
    </w:lvl>
    <w:lvl w:ilvl="4" w:tentative="0">
      <w:start w:val="0"/>
      <w:numFmt w:val="bullet"/>
      <w:lvlText w:val="•"/>
      <w:lvlJc w:val="left"/>
      <w:pPr>
        <w:ind w:left="5842" w:hanging="184"/>
      </w:pPr>
      <w:rPr>
        <w:rFonts w:hint="default"/>
        <w:lang w:val="zh-CN" w:eastAsia="zh-CN" w:bidi="zh-CN"/>
      </w:rPr>
    </w:lvl>
    <w:lvl w:ilvl="5" w:tentative="0">
      <w:start w:val="0"/>
      <w:numFmt w:val="bullet"/>
      <w:lvlText w:val="•"/>
      <w:lvlJc w:val="left"/>
      <w:pPr>
        <w:ind w:left="6853" w:hanging="184"/>
      </w:pPr>
      <w:rPr>
        <w:rFonts w:hint="default"/>
        <w:lang w:val="zh-CN" w:eastAsia="zh-CN" w:bidi="zh-CN"/>
      </w:rPr>
    </w:lvl>
    <w:lvl w:ilvl="6" w:tentative="0">
      <w:start w:val="0"/>
      <w:numFmt w:val="bullet"/>
      <w:lvlText w:val="•"/>
      <w:lvlJc w:val="left"/>
      <w:pPr>
        <w:ind w:left="7863" w:hanging="184"/>
      </w:pPr>
      <w:rPr>
        <w:rFonts w:hint="default"/>
        <w:lang w:val="zh-CN" w:eastAsia="zh-CN" w:bidi="zh-CN"/>
      </w:rPr>
    </w:lvl>
    <w:lvl w:ilvl="7" w:tentative="0">
      <w:start w:val="0"/>
      <w:numFmt w:val="bullet"/>
      <w:lvlText w:val="•"/>
      <w:lvlJc w:val="left"/>
      <w:pPr>
        <w:ind w:left="8874" w:hanging="184"/>
      </w:pPr>
      <w:rPr>
        <w:rFonts w:hint="default"/>
        <w:lang w:val="zh-CN" w:eastAsia="zh-CN" w:bidi="zh-CN"/>
      </w:rPr>
    </w:lvl>
    <w:lvl w:ilvl="8" w:tentative="0">
      <w:start w:val="0"/>
      <w:numFmt w:val="bullet"/>
      <w:lvlText w:val="•"/>
      <w:lvlJc w:val="left"/>
      <w:pPr>
        <w:ind w:left="9884" w:hanging="184"/>
      </w:pPr>
      <w:rPr>
        <w:rFonts w:hint="default"/>
        <w:lang w:val="zh-CN" w:eastAsia="zh-CN" w:bidi="zh-CN"/>
      </w:rPr>
    </w:lvl>
  </w:abstractNum>
  <w:abstractNum w:abstractNumId="63">
    <w:nsid w:val="30A0AC00"/>
    <w:multiLevelType w:val="multilevel"/>
    <w:tmpl w:val="30A0AC00"/>
    <w:lvl w:ilvl="0" w:tentative="0">
      <w:start w:val="1"/>
      <w:numFmt w:val="decimal"/>
      <w:lvlText w:val="%1."/>
      <w:lvlJc w:val="left"/>
      <w:pPr>
        <w:ind w:left="1800"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2810" w:hanging="184"/>
      </w:pPr>
      <w:rPr>
        <w:rFonts w:hint="default"/>
        <w:lang w:val="zh-CN" w:eastAsia="zh-CN" w:bidi="zh-CN"/>
      </w:rPr>
    </w:lvl>
    <w:lvl w:ilvl="2" w:tentative="0">
      <w:start w:val="0"/>
      <w:numFmt w:val="bullet"/>
      <w:lvlText w:val="•"/>
      <w:lvlJc w:val="left"/>
      <w:pPr>
        <w:ind w:left="3821" w:hanging="184"/>
      </w:pPr>
      <w:rPr>
        <w:rFonts w:hint="default"/>
        <w:lang w:val="zh-CN" w:eastAsia="zh-CN" w:bidi="zh-CN"/>
      </w:rPr>
    </w:lvl>
    <w:lvl w:ilvl="3" w:tentative="0">
      <w:start w:val="0"/>
      <w:numFmt w:val="bullet"/>
      <w:lvlText w:val="•"/>
      <w:lvlJc w:val="left"/>
      <w:pPr>
        <w:ind w:left="4831" w:hanging="184"/>
      </w:pPr>
      <w:rPr>
        <w:rFonts w:hint="default"/>
        <w:lang w:val="zh-CN" w:eastAsia="zh-CN" w:bidi="zh-CN"/>
      </w:rPr>
    </w:lvl>
    <w:lvl w:ilvl="4" w:tentative="0">
      <w:start w:val="0"/>
      <w:numFmt w:val="bullet"/>
      <w:lvlText w:val="•"/>
      <w:lvlJc w:val="left"/>
      <w:pPr>
        <w:ind w:left="5842" w:hanging="184"/>
      </w:pPr>
      <w:rPr>
        <w:rFonts w:hint="default"/>
        <w:lang w:val="zh-CN" w:eastAsia="zh-CN" w:bidi="zh-CN"/>
      </w:rPr>
    </w:lvl>
    <w:lvl w:ilvl="5" w:tentative="0">
      <w:start w:val="0"/>
      <w:numFmt w:val="bullet"/>
      <w:lvlText w:val="•"/>
      <w:lvlJc w:val="left"/>
      <w:pPr>
        <w:ind w:left="6853" w:hanging="184"/>
      </w:pPr>
      <w:rPr>
        <w:rFonts w:hint="default"/>
        <w:lang w:val="zh-CN" w:eastAsia="zh-CN" w:bidi="zh-CN"/>
      </w:rPr>
    </w:lvl>
    <w:lvl w:ilvl="6" w:tentative="0">
      <w:start w:val="0"/>
      <w:numFmt w:val="bullet"/>
      <w:lvlText w:val="•"/>
      <w:lvlJc w:val="left"/>
      <w:pPr>
        <w:ind w:left="7863" w:hanging="184"/>
      </w:pPr>
      <w:rPr>
        <w:rFonts w:hint="default"/>
        <w:lang w:val="zh-CN" w:eastAsia="zh-CN" w:bidi="zh-CN"/>
      </w:rPr>
    </w:lvl>
    <w:lvl w:ilvl="7" w:tentative="0">
      <w:start w:val="0"/>
      <w:numFmt w:val="bullet"/>
      <w:lvlText w:val="•"/>
      <w:lvlJc w:val="left"/>
      <w:pPr>
        <w:ind w:left="8874" w:hanging="184"/>
      </w:pPr>
      <w:rPr>
        <w:rFonts w:hint="default"/>
        <w:lang w:val="zh-CN" w:eastAsia="zh-CN" w:bidi="zh-CN"/>
      </w:rPr>
    </w:lvl>
    <w:lvl w:ilvl="8" w:tentative="0">
      <w:start w:val="0"/>
      <w:numFmt w:val="bullet"/>
      <w:lvlText w:val="•"/>
      <w:lvlJc w:val="left"/>
      <w:pPr>
        <w:ind w:left="9884" w:hanging="184"/>
      </w:pPr>
      <w:rPr>
        <w:rFonts w:hint="default"/>
        <w:lang w:val="zh-CN" w:eastAsia="zh-CN" w:bidi="zh-CN"/>
      </w:rPr>
    </w:lvl>
  </w:abstractNum>
  <w:abstractNum w:abstractNumId="64">
    <w:nsid w:val="30FC5B15"/>
    <w:multiLevelType w:val="multilevel"/>
    <w:tmpl w:val="30FC5B15"/>
    <w:lvl w:ilvl="0" w:tentative="0">
      <w:start w:val="1"/>
      <w:numFmt w:val="decimal"/>
      <w:lvlText w:val="%1."/>
      <w:lvlJc w:val="left"/>
      <w:pPr>
        <w:ind w:left="2480" w:hanging="201"/>
        <w:jc w:val="left"/>
      </w:pPr>
      <w:rPr>
        <w:rFonts w:hint="default" w:ascii="微软雅黑" w:hAnsi="微软雅黑" w:eastAsia="微软雅黑" w:cs="微软雅黑"/>
        <w:color w:val="333333"/>
        <w:spacing w:val="-3"/>
        <w:w w:val="100"/>
        <w:sz w:val="22"/>
        <w:szCs w:val="22"/>
        <w:lang w:val="zh-CN" w:eastAsia="zh-CN" w:bidi="zh-CN"/>
      </w:rPr>
    </w:lvl>
    <w:lvl w:ilvl="1" w:tentative="0">
      <w:start w:val="0"/>
      <w:numFmt w:val="bullet"/>
      <w:lvlText w:val="•"/>
      <w:lvlJc w:val="left"/>
      <w:pPr>
        <w:ind w:left="3422" w:hanging="201"/>
      </w:pPr>
      <w:rPr>
        <w:rFonts w:hint="default"/>
        <w:lang w:val="zh-CN" w:eastAsia="zh-CN" w:bidi="zh-CN"/>
      </w:rPr>
    </w:lvl>
    <w:lvl w:ilvl="2" w:tentative="0">
      <w:start w:val="0"/>
      <w:numFmt w:val="bullet"/>
      <w:lvlText w:val="•"/>
      <w:lvlJc w:val="left"/>
      <w:pPr>
        <w:ind w:left="4365" w:hanging="201"/>
      </w:pPr>
      <w:rPr>
        <w:rFonts w:hint="default"/>
        <w:lang w:val="zh-CN" w:eastAsia="zh-CN" w:bidi="zh-CN"/>
      </w:rPr>
    </w:lvl>
    <w:lvl w:ilvl="3" w:tentative="0">
      <w:start w:val="0"/>
      <w:numFmt w:val="bullet"/>
      <w:lvlText w:val="•"/>
      <w:lvlJc w:val="left"/>
      <w:pPr>
        <w:ind w:left="5307" w:hanging="201"/>
      </w:pPr>
      <w:rPr>
        <w:rFonts w:hint="default"/>
        <w:lang w:val="zh-CN" w:eastAsia="zh-CN" w:bidi="zh-CN"/>
      </w:rPr>
    </w:lvl>
    <w:lvl w:ilvl="4" w:tentative="0">
      <w:start w:val="0"/>
      <w:numFmt w:val="bullet"/>
      <w:lvlText w:val="•"/>
      <w:lvlJc w:val="left"/>
      <w:pPr>
        <w:ind w:left="6250" w:hanging="201"/>
      </w:pPr>
      <w:rPr>
        <w:rFonts w:hint="default"/>
        <w:lang w:val="zh-CN" w:eastAsia="zh-CN" w:bidi="zh-CN"/>
      </w:rPr>
    </w:lvl>
    <w:lvl w:ilvl="5" w:tentative="0">
      <w:start w:val="0"/>
      <w:numFmt w:val="bullet"/>
      <w:lvlText w:val="•"/>
      <w:lvlJc w:val="left"/>
      <w:pPr>
        <w:ind w:left="7193" w:hanging="201"/>
      </w:pPr>
      <w:rPr>
        <w:rFonts w:hint="default"/>
        <w:lang w:val="zh-CN" w:eastAsia="zh-CN" w:bidi="zh-CN"/>
      </w:rPr>
    </w:lvl>
    <w:lvl w:ilvl="6" w:tentative="0">
      <w:start w:val="0"/>
      <w:numFmt w:val="bullet"/>
      <w:lvlText w:val="•"/>
      <w:lvlJc w:val="left"/>
      <w:pPr>
        <w:ind w:left="8135" w:hanging="201"/>
      </w:pPr>
      <w:rPr>
        <w:rFonts w:hint="default"/>
        <w:lang w:val="zh-CN" w:eastAsia="zh-CN" w:bidi="zh-CN"/>
      </w:rPr>
    </w:lvl>
    <w:lvl w:ilvl="7" w:tentative="0">
      <w:start w:val="0"/>
      <w:numFmt w:val="bullet"/>
      <w:lvlText w:val="•"/>
      <w:lvlJc w:val="left"/>
      <w:pPr>
        <w:ind w:left="9078" w:hanging="201"/>
      </w:pPr>
      <w:rPr>
        <w:rFonts w:hint="default"/>
        <w:lang w:val="zh-CN" w:eastAsia="zh-CN" w:bidi="zh-CN"/>
      </w:rPr>
    </w:lvl>
    <w:lvl w:ilvl="8" w:tentative="0">
      <w:start w:val="0"/>
      <w:numFmt w:val="bullet"/>
      <w:lvlText w:val="•"/>
      <w:lvlJc w:val="left"/>
      <w:pPr>
        <w:ind w:left="10020" w:hanging="201"/>
      </w:pPr>
      <w:rPr>
        <w:rFonts w:hint="default"/>
        <w:lang w:val="zh-CN" w:eastAsia="zh-CN" w:bidi="zh-CN"/>
      </w:rPr>
    </w:lvl>
  </w:abstractNum>
  <w:abstractNum w:abstractNumId="65">
    <w:nsid w:val="322D85CA"/>
    <w:multiLevelType w:val="multilevel"/>
    <w:tmpl w:val="322D85CA"/>
    <w:lvl w:ilvl="0" w:tentative="0">
      <w:start w:val="1"/>
      <w:numFmt w:val="decimal"/>
      <w:lvlText w:val="%1."/>
      <w:lvlJc w:val="left"/>
      <w:pPr>
        <w:ind w:left="1800" w:hanging="204"/>
        <w:jc w:val="left"/>
      </w:pPr>
      <w:rPr>
        <w:rFonts w:hint="default" w:ascii="微软雅黑" w:hAnsi="微软雅黑" w:eastAsia="微软雅黑" w:cs="微软雅黑"/>
        <w:color w:val="333333"/>
        <w:w w:val="100"/>
        <w:sz w:val="22"/>
        <w:szCs w:val="22"/>
        <w:lang w:val="zh-CN" w:eastAsia="zh-CN" w:bidi="zh-CN"/>
      </w:rPr>
    </w:lvl>
    <w:lvl w:ilvl="1" w:tentative="0">
      <w:start w:val="0"/>
      <w:numFmt w:val="bullet"/>
      <w:lvlText w:val="•"/>
      <w:lvlJc w:val="left"/>
      <w:pPr>
        <w:ind w:left="2810" w:hanging="204"/>
      </w:pPr>
      <w:rPr>
        <w:rFonts w:hint="default"/>
        <w:lang w:val="zh-CN" w:eastAsia="zh-CN" w:bidi="zh-CN"/>
      </w:rPr>
    </w:lvl>
    <w:lvl w:ilvl="2" w:tentative="0">
      <w:start w:val="0"/>
      <w:numFmt w:val="bullet"/>
      <w:lvlText w:val="•"/>
      <w:lvlJc w:val="left"/>
      <w:pPr>
        <w:ind w:left="3821" w:hanging="204"/>
      </w:pPr>
      <w:rPr>
        <w:rFonts w:hint="default"/>
        <w:lang w:val="zh-CN" w:eastAsia="zh-CN" w:bidi="zh-CN"/>
      </w:rPr>
    </w:lvl>
    <w:lvl w:ilvl="3" w:tentative="0">
      <w:start w:val="0"/>
      <w:numFmt w:val="bullet"/>
      <w:lvlText w:val="•"/>
      <w:lvlJc w:val="left"/>
      <w:pPr>
        <w:ind w:left="4831" w:hanging="204"/>
      </w:pPr>
      <w:rPr>
        <w:rFonts w:hint="default"/>
        <w:lang w:val="zh-CN" w:eastAsia="zh-CN" w:bidi="zh-CN"/>
      </w:rPr>
    </w:lvl>
    <w:lvl w:ilvl="4" w:tentative="0">
      <w:start w:val="0"/>
      <w:numFmt w:val="bullet"/>
      <w:lvlText w:val="•"/>
      <w:lvlJc w:val="left"/>
      <w:pPr>
        <w:ind w:left="5842" w:hanging="204"/>
      </w:pPr>
      <w:rPr>
        <w:rFonts w:hint="default"/>
        <w:lang w:val="zh-CN" w:eastAsia="zh-CN" w:bidi="zh-CN"/>
      </w:rPr>
    </w:lvl>
    <w:lvl w:ilvl="5" w:tentative="0">
      <w:start w:val="0"/>
      <w:numFmt w:val="bullet"/>
      <w:lvlText w:val="•"/>
      <w:lvlJc w:val="left"/>
      <w:pPr>
        <w:ind w:left="6853" w:hanging="204"/>
      </w:pPr>
      <w:rPr>
        <w:rFonts w:hint="default"/>
        <w:lang w:val="zh-CN" w:eastAsia="zh-CN" w:bidi="zh-CN"/>
      </w:rPr>
    </w:lvl>
    <w:lvl w:ilvl="6" w:tentative="0">
      <w:start w:val="0"/>
      <w:numFmt w:val="bullet"/>
      <w:lvlText w:val="•"/>
      <w:lvlJc w:val="left"/>
      <w:pPr>
        <w:ind w:left="7863" w:hanging="204"/>
      </w:pPr>
      <w:rPr>
        <w:rFonts w:hint="default"/>
        <w:lang w:val="zh-CN" w:eastAsia="zh-CN" w:bidi="zh-CN"/>
      </w:rPr>
    </w:lvl>
    <w:lvl w:ilvl="7" w:tentative="0">
      <w:start w:val="0"/>
      <w:numFmt w:val="bullet"/>
      <w:lvlText w:val="•"/>
      <w:lvlJc w:val="left"/>
      <w:pPr>
        <w:ind w:left="8874" w:hanging="204"/>
      </w:pPr>
      <w:rPr>
        <w:rFonts w:hint="default"/>
        <w:lang w:val="zh-CN" w:eastAsia="zh-CN" w:bidi="zh-CN"/>
      </w:rPr>
    </w:lvl>
    <w:lvl w:ilvl="8" w:tentative="0">
      <w:start w:val="0"/>
      <w:numFmt w:val="bullet"/>
      <w:lvlText w:val="•"/>
      <w:lvlJc w:val="left"/>
      <w:pPr>
        <w:ind w:left="9884" w:hanging="204"/>
      </w:pPr>
      <w:rPr>
        <w:rFonts w:hint="default"/>
        <w:lang w:val="zh-CN" w:eastAsia="zh-CN" w:bidi="zh-CN"/>
      </w:rPr>
    </w:lvl>
  </w:abstractNum>
  <w:abstractNum w:abstractNumId="66">
    <w:nsid w:val="32A7AF2D"/>
    <w:multiLevelType w:val="multilevel"/>
    <w:tmpl w:val="32A7AF2D"/>
    <w:lvl w:ilvl="0" w:tentative="0">
      <w:start w:val="1"/>
      <w:numFmt w:val="decimal"/>
      <w:lvlText w:val="%1."/>
      <w:lvlJc w:val="left"/>
      <w:pPr>
        <w:ind w:left="1800" w:hanging="201"/>
        <w:jc w:val="left"/>
      </w:pPr>
      <w:rPr>
        <w:rFonts w:hint="default" w:ascii="微软雅黑" w:hAnsi="微软雅黑" w:eastAsia="微软雅黑" w:cs="微软雅黑"/>
        <w:color w:val="333333"/>
        <w:spacing w:val="-20"/>
        <w:w w:val="100"/>
        <w:sz w:val="22"/>
        <w:szCs w:val="22"/>
        <w:lang w:val="zh-CN" w:eastAsia="zh-CN" w:bidi="zh-CN"/>
      </w:rPr>
    </w:lvl>
    <w:lvl w:ilvl="1" w:tentative="0">
      <w:start w:val="0"/>
      <w:numFmt w:val="bullet"/>
      <w:lvlText w:val="•"/>
      <w:lvlJc w:val="left"/>
      <w:pPr>
        <w:ind w:left="2810" w:hanging="201"/>
      </w:pPr>
      <w:rPr>
        <w:rFonts w:hint="default"/>
        <w:lang w:val="zh-CN" w:eastAsia="zh-CN" w:bidi="zh-CN"/>
      </w:rPr>
    </w:lvl>
    <w:lvl w:ilvl="2" w:tentative="0">
      <w:start w:val="0"/>
      <w:numFmt w:val="bullet"/>
      <w:lvlText w:val="•"/>
      <w:lvlJc w:val="left"/>
      <w:pPr>
        <w:ind w:left="3821" w:hanging="201"/>
      </w:pPr>
      <w:rPr>
        <w:rFonts w:hint="default"/>
        <w:lang w:val="zh-CN" w:eastAsia="zh-CN" w:bidi="zh-CN"/>
      </w:rPr>
    </w:lvl>
    <w:lvl w:ilvl="3" w:tentative="0">
      <w:start w:val="0"/>
      <w:numFmt w:val="bullet"/>
      <w:lvlText w:val="•"/>
      <w:lvlJc w:val="left"/>
      <w:pPr>
        <w:ind w:left="4831" w:hanging="201"/>
      </w:pPr>
      <w:rPr>
        <w:rFonts w:hint="default"/>
        <w:lang w:val="zh-CN" w:eastAsia="zh-CN" w:bidi="zh-CN"/>
      </w:rPr>
    </w:lvl>
    <w:lvl w:ilvl="4" w:tentative="0">
      <w:start w:val="0"/>
      <w:numFmt w:val="bullet"/>
      <w:lvlText w:val="•"/>
      <w:lvlJc w:val="left"/>
      <w:pPr>
        <w:ind w:left="5842" w:hanging="201"/>
      </w:pPr>
      <w:rPr>
        <w:rFonts w:hint="default"/>
        <w:lang w:val="zh-CN" w:eastAsia="zh-CN" w:bidi="zh-CN"/>
      </w:rPr>
    </w:lvl>
    <w:lvl w:ilvl="5" w:tentative="0">
      <w:start w:val="0"/>
      <w:numFmt w:val="bullet"/>
      <w:lvlText w:val="•"/>
      <w:lvlJc w:val="left"/>
      <w:pPr>
        <w:ind w:left="6853" w:hanging="201"/>
      </w:pPr>
      <w:rPr>
        <w:rFonts w:hint="default"/>
        <w:lang w:val="zh-CN" w:eastAsia="zh-CN" w:bidi="zh-CN"/>
      </w:rPr>
    </w:lvl>
    <w:lvl w:ilvl="6" w:tentative="0">
      <w:start w:val="0"/>
      <w:numFmt w:val="bullet"/>
      <w:lvlText w:val="•"/>
      <w:lvlJc w:val="left"/>
      <w:pPr>
        <w:ind w:left="7863" w:hanging="201"/>
      </w:pPr>
      <w:rPr>
        <w:rFonts w:hint="default"/>
        <w:lang w:val="zh-CN" w:eastAsia="zh-CN" w:bidi="zh-CN"/>
      </w:rPr>
    </w:lvl>
    <w:lvl w:ilvl="7" w:tentative="0">
      <w:start w:val="0"/>
      <w:numFmt w:val="bullet"/>
      <w:lvlText w:val="•"/>
      <w:lvlJc w:val="left"/>
      <w:pPr>
        <w:ind w:left="8874" w:hanging="201"/>
      </w:pPr>
      <w:rPr>
        <w:rFonts w:hint="default"/>
        <w:lang w:val="zh-CN" w:eastAsia="zh-CN" w:bidi="zh-CN"/>
      </w:rPr>
    </w:lvl>
    <w:lvl w:ilvl="8" w:tentative="0">
      <w:start w:val="0"/>
      <w:numFmt w:val="bullet"/>
      <w:lvlText w:val="•"/>
      <w:lvlJc w:val="left"/>
      <w:pPr>
        <w:ind w:left="9884" w:hanging="201"/>
      </w:pPr>
      <w:rPr>
        <w:rFonts w:hint="default"/>
        <w:lang w:val="zh-CN" w:eastAsia="zh-CN" w:bidi="zh-CN"/>
      </w:rPr>
    </w:lvl>
  </w:abstractNum>
  <w:abstractNum w:abstractNumId="67">
    <w:nsid w:val="35E83B33"/>
    <w:multiLevelType w:val="multilevel"/>
    <w:tmpl w:val="35E83B33"/>
    <w:lvl w:ilvl="0" w:tentative="0">
      <w:start w:val="1"/>
      <w:numFmt w:val="decimal"/>
      <w:lvlText w:val="%1."/>
      <w:lvlJc w:val="left"/>
      <w:pPr>
        <w:ind w:left="1983"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2972" w:hanging="184"/>
      </w:pPr>
      <w:rPr>
        <w:rFonts w:hint="default"/>
        <w:lang w:val="zh-CN" w:eastAsia="zh-CN" w:bidi="zh-CN"/>
      </w:rPr>
    </w:lvl>
    <w:lvl w:ilvl="2" w:tentative="0">
      <w:start w:val="0"/>
      <w:numFmt w:val="bullet"/>
      <w:lvlText w:val="•"/>
      <w:lvlJc w:val="left"/>
      <w:pPr>
        <w:ind w:left="3965" w:hanging="184"/>
      </w:pPr>
      <w:rPr>
        <w:rFonts w:hint="default"/>
        <w:lang w:val="zh-CN" w:eastAsia="zh-CN" w:bidi="zh-CN"/>
      </w:rPr>
    </w:lvl>
    <w:lvl w:ilvl="3" w:tentative="0">
      <w:start w:val="0"/>
      <w:numFmt w:val="bullet"/>
      <w:lvlText w:val="•"/>
      <w:lvlJc w:val="left"/>
      <w:pPr>
        <w:ind w:left="4957" w:hanging="184"/>
      </w:pPr>
      <w:rPr>
        <w:rFonts w:hint="default"/>
        <w:lang w:val="zh-CN" w:eastAsia="zh-CN" w:bidi="zh-CN"/>
      </w:rPr>
    </w:lvl>
    <w:lvl w:ilvl="4" w:tentative="0">
      <w:start w:val="0"/>
      <w:numFmt w:val="bullet"/>
      <w:lvlText w:val="•"/>
      <w:lvlJc w:val="left"/>
      <w:pPr>
        <w:ind w:left="5950" w:hanging="184"/>
      </w:pPr>
      <w:rPr>
        <w:rFonts w:hint="default"/>
        <w:lang w:val="zh-CN" w:eastAsia="zh-CN" w:bidi="zh-CN"/>
      </w:rPr>
    </w:lvl>
    <w:lvl w:ilvl="5" w:tentative="0">
      <w:start w:val="0"/>
      <w:numFmt w:val="bullet"/>
      <w:lvlText w:val="•"/>
      <w:lvlJc w:val="left"/>
      <w:pPr>
        <w:ind w:left="6943" w:hanging="184"/>
      </w:pPr>
      <w:rPr>
        <w:rFonts w:hint="default"/>
        <w:lang w:val="zh-CN" w:eastAsia="zh-CN" w:bidi="zh-CN"/>
      </w:rPr>
    </w:lvl>
    <w:lvl w:ilvl="6" w:tentative="0">
      <w:start w:val="0"/>
      <w:numFmt w:val="bullet"/>
      <w:lvlText w:val="•"/>
      <w:lvlJc w:val="left"/>
      <w:pPr>
        <w:ind w:left="7935" w:hanging="184"/>
      </w:pPr>
      <w:rPr>
        <w:rFonts w:hint="default"/>
        <w:lang w:val="zh-CN" w:eastAsia="zh-CN" w:bidi="zh-CN"/>
      </w:rPr>
    </w:lvl>
    <w:lvl w:ilvl="7" w:tentative="0">
      <w:start w:val="0"/>
      <w:numFmt w:val="bullet"/>
      <w:lvlText w:val="•"/>
      <w:lvlJc w:val="left"/>
      <w:pPr>
        <w:ind w:left="8928" w:hanging="184"/>
      </w:pPr>
      <w:rPr>
        <w:rFonts w:hint="default"/>
        <w:lang w:val="zh-CN" w:eastAsia="zh-CN" w:bidi="zh-CN"/>
      </w:rPr>
    </w:lvl>
    <w:lvl w:ilvl="8" w:tentative="0">
      <w:start w:val="0"/>
      <w:numFmt w:val="bullet"/>
      <w:lvlText w:val="•"/>
      <w:lvlJc w:val="left"/>
      <w:pPr>
        <w:ind w:left="9920" w:hanging="184"/>
      </w:pPr>
      <w:rPr>
        <w:rFonts w:hint="default"/>
        <w:lang w:val="zh-CN" w:eastAsia="zh-CN" w:bidi="zh-CN"/>
      </w:rPr>
    </w:lvl>
  </w:abstractNum>
  <w:abstractNum w:abstractNumId="68">
    <w:nsid w:val="39A0D9AC"/>
    <w:multiLevelType w:val="multilevel"/>
    <w:tmpl w:val="39A0D9AC"/>
    <w:lvl w:ilvl="0" w:tentative="0">
      <w:start w:val="1"/>
      <w:numFmt w:val="decimal"/>
      <w:lvlText w:val="%1."/>
      <w:lvlJc w:val="left"/>
      <w:pPr>
        <w:ind w:left="2480" w:hanging="201"/>
        <w:jc w:val="left"/>
      </w:pPr>
      <w:rPr>
        <w:rFonts w:hint="default" w:ascii="微软雅黑" w:hAnsi="微软雅黑" w:eastAsia="微软雅黑" w:cs="微软雅黑"/>
        <w:color w:val="333333"/>
        <w:spacing w:val="-3"/>
        <w:w w:val="100"/>
        <w:sz w:val="22"/>
        <w:szCs w:val="22"/>
        <w:lang w:val="zh-CN" w:eastAsia="zh-CN" w:bidi="zh-CN"/>
      </w:rPr>
    </w:lvl>
    <w:lvl w:ilvl="1" w:tentative="0">
      <w:start w:val="0"/>
      <w:numFmt w:val="bullet"/>
      <w:lvlText w:val="•"/>
      <w:lvlJc w:val="left"/>
      <w:pPr>
        <w:ind w:left="3422" w:hanging="201"/>
      </w:pPr>
      <w:rPr>
        <w:rFonts w:hint="default"/>
        <w:lang w:val="zh-CN" w:eastAsia="zh-CN" w:bidi="zh-CN"/>
      </w:rPr>
    </w:lvl>
    <w:lvl w:ilvl="2" w:tentative="0">
      <w:start w:val="0"/>
      <w:numFmt w:val="bullet"/>
      <w:lvlText w:val="•"/>
      <w:lvlJc w:val="left"/>
      <w:pPr>
        <w:ind w:left="4365" w:hanging="201"/>
      </w:pPr>
      <w:rPr>
        <w:rFonts w:hint="default"/>
        <w:lang w:val="zh-CN" w:eastAsia="zh-CN" w:bidi="zh-CN"/>
      </w:rPr>
    </w:lvl>
    <w:lvl w:ilvl="3" w:tentative="0">
      <w:start w:val="0"/>
      <w:numFmt w:val="bullet"/>
      <w:lvlText w:val="•"/>
      <w:lvlJc w:val="left"/>
      <w:pPr>
        <w:ind w:left="5307" w:hanging="201"/>
      </w:pPr>
      <w:rPr>
        <w:rFonts w:hint="default"/>
        <w:lang w:val="zh-CN" w:eastAsia="zh-CN" w:bidi="zh-CN"/>
      </w:rPr>
    </w:lvl>
    <w:lvl w:ilvl="4" w:tentative="0">
      <w:start w:val="0"/>
      <w:numFmt w:val="bullet"/>
      <w:lvlText w:val="•"/>
      <w:lvlJc w:val="left"/>
      <w:pPr>
        <w:ind w:left="6250" w:hanging="201"/>
      </w:pPr>
      <w:rPr>
        <w:rFonts w:hint="default"/>
        <w:lang w:val="zh-CN" w:eastAsia="zh-CN" w:bidi="zh-CN"/>
      </w:rPr>
    </w:lvl>
    <w:lvl w:ilvl="5" w:tentative="0">
      <w:start w:val="0"/>
      <w:numFmt w:val="bullet"/>
      <w:lvlText w:val="•"/>
      <w:lvlJc w:val="left"/>
      <w:pPr>
        <w:ind w:left="7193" w:hanging="201"/>
      </w:pPr>
      <w:rPr>
        <w:rFonts w:hint="default"/>
        <w:lang w:val="zh-CN" w:eastAsia="zh-CN" w:bidi="zh-CN"/>
      </w:rPr>
    </w:lvl>
    <w:lvl w:ilvl="6" w:tentative="0">
      <w:start w:val="0"/>
      <w:numFmt w:val="bullet"/>
      <w:lvlText w:val="•"/>
      <w:lvlJc w:val="left"/>
      <w:pPr>
        <w:ind w:left="8135" w:hanging="201"/>
      </w:pPr>
      <w:rPr>
        <w:rFonts w:hint="default"/>
        <w:lang w:val="zh-CN" w:eastAsia="zh-CN" w:bidi="zh-CN"/>
      </w:rPr>
    </w:lvl>
    <w:lvl w:ilvl="7" w:tentative="0">
      <w:start w:val="0"/>
      <w:numFmt w:val="bullet"/>
      <w:lvlText w:val="•"/>
      <w:lvlJc w:val="left"/>
      <w:pPr>
        <w:ind w:left="9078" w:hanging="201"/>
      </w:pPr>
      <w:rPr>
        <w:rFonts w:hint="default"/>
        <w:lang w:val="zh-CN" w:eastAsia="zh-CN" w:bidi="zh-CN"/>
      </w:rPr>
    </w:lvl>
    <w:lvl w:ilvl="8" w:tentative="0">
      <w:start w:val="0"/>
      <w:numFmt w:val="bullet"/>
      <w:lvlText w:val="•"/>
      <w:lvlJc w:val="left"/>
      <w:pPr>
        <w:ind w:left="10020" w:hanging="201"/>
      </w:pPr>
      <w:rPr>
        <w:rFonts w:hint="default"/>
        <w:lang w:val="zh-CN" w:eastAsia="zh-CN" w:bidi="zh-CN"/>
      </w:rPr>
    </w:lvl>
  </w:abstractNum>
  <w:abstractNum w:abstractNumId="69">
    <w:nsid w:val="3B8127DF"/>
    <w:multiLevelType w:val="multilevel"/>
    <w:tmpl w:val="3B8127DF"/>
    <w:lvl w:ilvl="0" w:tentative="0">
      <w:start w:val="1"/>
      <w:numFmt w:val="decimal"/>
      <w:lvlText w:val="%1."/>
      <w:lvlJc w:val="left"/>
      <w:pPr>
        <w:ind w:left="1800"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2810" w:hanging="184"/>
      </w:pPr>
      <w:rPr>
        <w:rFonts w:hint="default"/>
        <w:lang w:val="zh-CN" w:eastAsia="zh-CN" w:bidi="zh-CN"/>
      </w:rPr>
    </w:lvl>
    <w:lvl w:ilvl="2" w:tentative="0">
      <w:start w:val="0"/>
      <w:numFmt w:val="bullet"/>
      <w:lvlText w:val="•"/>
      <w:lvlJc w:val="left"/>
      <w:pPr>
        <w:ind w:left="3821" w:hanging="184"/>
      </w:pPr>
      <w:rPr>
        <w:rFonts w:hint="default"/>
        <w:lang w:val="zh-CN" w:eastAsia="zh-CN" w:bidi="zh-CN"/>
      </w:rPr>
    </w:lvl>
    <w:lvl w:ilvl="3" w:tentative="0">
      <w:start w:val="0"/>
      <w:numFmt w:val="bullet"/>
      <w:lvlText w:val="•"/>
      <w:lvlJc w:val="left"/>
      <w:pPr>
        <w:ind w:left="4831" w:hanging="184"/>
      </w:pPr>
      <w:rPr>
        <w:rFonts w:hint="default"/>
        <w:lang w:val="zh-CN" w:eastAsia="zh-CN" w:bidi="zh-CN"/>
      </w:rPr>
    </w:lvl>
    <w:lvl w:ilvl="4" w:tentative="0">
      <w:start w:val="0"/>
      <w:numFmt w:val="bullet"/>
      <w:lvlText w:val="•"/>
      <w:lvlJc w:val="left"/>
      <w:pPr>
        <w:ind w:left="5842" w:hanging="184"/>
      </w:pPr>
      <w:rPr>
        <w:rFonts w:hint="default"/>
        <w:lang w:val="zh-CN" w:eastAsia="zh-CN" w:bidi="zh-CN"/>
      </w:rPr>
    </w:lvl>
    <w:lvl w:ilvl="5" w:tentative="0">
      <w:start w:val="0"/>
      <w:numFmt w:val="bullet"/>
      <w:lvlText w:val="•"/>
      <w:lvlJc w:val="left"/>
      <w:pPr>
        <w:ind w:left="6853" w:hanging="184"/>
      </w:pPr>
      <w:rPr>
        <w:rFonts w:hint="default"/>
        <w:lang w:val="zh-CN" w:eastAsia="zh-CN" w:bidi="zh-CN"/>
      </w:rPr>
    </w:lvl>
    <w:lvl w:ilvl="6" w:tentative="0">
      <w:start w:val="0"/>
      <w:numFmt w:val="bullet"/>
      <w:lvlText w:val="•"/>
      <w:lvlJc w:val="left"/>
      <w:pPr>
        <w:ind w:left="7863" w:hanging="184"/>
      </w:pPr>
      <w:rPr>
        <w:rFonts w:hint="default"/>
        <w:lang w:val="zh-CN" w:eastAsia="zh-CN" w:bidi="zh-CN"/>
      </w:rPr>
    </w:lvl>
    <w:lvl w:ilvl="7" w:tentative="0">
      <w:start w:val="0"/>
      <w:numFmt w:val="bullet"/>
      <w:lvlText w:val="•"/>
      <w:lvlJc w:val="left"/>
      <w:pPr>
        <w:ind w:left="8874" w:hanging="184"/>
      </w:pPr>
      <w:rPr>
        <w:rFonts w:hint="default"/>
        <w:lang w:val="zh-CN" w:eastAsia="zh-CN" w:bidi="zh-CN"/>
      </w:rPr>
    </w:lvl>
    <w:lvl w:ilvl="8" w:tentative="0">
      <w:start w:val="0"/>
      <w:numFmt w:val="bullet"/>
      <w:lvlText w:val="•"/>
      <w:lvlJc w:val="left"/>
      <w:pPr>
        <w:ind w:left="9884" w:hanging="184"/>
      </w:pPr>
      <w:rPr>
        <w:rFonts w:hint="default"/>
        <w:lang w:val="zh-CN" w:eastAsia="zh-CN" w:bidi="zh-CN"/>
      </w:rPr>
    </w:lvl>
  </w:abstractNum>
  <w:abstractNum w:abstractNumId="70">
    <w:nsid w:val="40B249F9"/>
    <w:multiLevelType w:val="multilevel"/>
    <w:tmpl w:val="40B249F9"/>
    <w:lvl w:ilvl="0" w:tentative="0">
      <w:start w:val="7"/>
      <w:numFmt w:val="decimal"/>
      <w:lvlText w:val="%1."/>
      <w:lvlJc w:val="left"/>
      <w:pPr>
        <w:ind w:left="1800"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2810" w:hanging="184"/>
      </w:pPr>
      <w:rPr>
        <w:rFonts w:hint="default"/>
        <w:lang w:val="zh-CN" w:eastAsia="zh-CN" w:bidi="zh-CN"/>
      </w:rPr>
    </w:lvl>
    <w:lvl w:ilvl="2" w:tentative="0">
      <w:start w:val="0"/>
      <w:numFmt w:val="bullet"/>
      <w:lvlText w:val="•"/>
      <w:lvlJc w:val="left"/>
      <w:pPr>
        <w:ind w:left="3821" w:hanging="184"/>
      </w:pPr>
      <w:rPr>
        <w:rFonts w:hint="default"/>
        <w:lang w:val="zh-CN" w:eastAsia="zh-CN" w:bidi="zh-CN"/>
      </w:rPr>
    </w:lvl>
    <w:lvl w:ilvl="3" w:tentative="0">
      <w:start w:val="0"/>
      <w:numFmt w:val="bullet"/>
      <w:lvlText w:val="•"/>
      <w:lvlJc w:val="left"/>
      <w:pPr>
        <w:ind w:left="4831" w:hanging="184"/>
      </w:pPr>
      <w:rPr>
        <w:rFonts w:hint="default"/>
        <w:lang w:val="zh-CN" w:eastAsia="zh-CN" w:bidi="zh-CN"/>
      </w:rPr>
    </w:lvl>
    <w:lvl w:ilvl="4" w:tentative="0">
      <w:start w:val="0"/>
      <w:numFmt w:val="bullet"/>
      <w:lvlText w:val="•"/>
      <w:lvlJc w:val="left"/>
      <w:pPr>
        <w:ind w:left="5842" w:hanging="184"/>
      </w:pPr>
      <w:rPr>
        <w:rFonts w:hint="default"/>
        <w:lang w:val="zh-CN" w:eastAsia="zh-CN" w:bidi="zh-CN"/>
      </w:rPr>
    </w:lvl>
    <w:lvl w:ilvl="5" w:tentative="0">
      <w:start w:val="0"/>
      <w:numFmt w:val="bullet"/>
      <w:lvlText w:val="•"/>
      <w:lvlJc w:val="left"/>
      <w:pPr>
        <w:ind w:left="6853" w:hanging="184"/>
      </w:pPr>
      <w:rPr>
        <w:rFonts w:hint="default"/>
        <w:lang w:val="zh-CN" w:eastAsia="zh-CN" w:bidi="zh-CN"/>
      </w:rPr>
    </w:lvl>
    <w:lvl w:ilvl="6" w:tentative="0">
      <w:start w:val="0"/>
      <w:numFmt w:val="bullet"/>
      <w:lvlText w:val="•"/>
      <w:lvlJc w:val="left"/>
      <w:pPr>
        <w:ind w:left="7863" w:hanging="184"/>
      </w:pPr>
      <w:rPr>
        <w:rFonts w:hint="default"/>
        <w:lang w:val="zh-CN" w:eastAsia="zh-CN" w:bidi="zh-CN"/>
      </w:rPr>
    </w:lvl>
    <w:lvl w:ilvl="7" w:tentative="0">
      <w:start w:val="0"/>
      <w:numFmt w:val="bullet"/>
      <w:lvlText w:val="•"/>
      <w:lvlJc w:val="left"/>
      <w:pPr>
        <w:ind w:left="8874" w:hanging="184"/>
      </w:pPr>
      <w:rPr>
        <w:rFonts w:hint="default"/>
        <w:lang w:val="zh-CN" w:eastAsia="zh-CN" w:bidi="zh-CN"/>
      </w:rPr>
    </w:lvl>
    <w:lvl w:ilvl="8" w:tentative="0">
      <w:start w:val="0"/>
      <w:numFmt w:val="bullet"/>
      <w:lvlText w:val="•"/>
      <w:lvlJc w:val="left"/>
      <w:pPr>
        <w:ind w:left="9884" w:hanging="184"/>
      </w:pPr>
      <w:rPr>
        <w:rFonts w:hint="default"/>
        <w:lang w:val="zh-CN" w:eastAsia="zh-CN" w:bidi="zh-CN"/>
      </w:rPr>
    </w:lvl>
  </w:abstractNum>
  <w:abstractNum w:abstractNumId="71">
    <w:nsid w:val="46A08BB8"/>
    <w:multiLevelType w:val="multilevel"/>
    <w:tmpl w:val="46A08BB8"/>
    <w:lvl w:ilvl="0" w:tentative="0">
      <w:start w:val="1"/>
      <w:numFmt w:val="decimal"/>
      <w:lvlText w:val="（%1）"/>
      <w:lvlJc w:val="left"/>
      <w:pPr>
        <w:ind w:left="2900" w:hanging="621"/>
        <w:jc w:val="left"/>
      </w:pPr>
      <w:rPr>
        <w:rFonts w:hint="default" w:ascii="微软雅黑" w:hAnsi="微软雅黑" w:eastAsia="微软雅黑" w:cs="微软雅黑"/>
        <w:color w:val="333333"/>
        <w:spacing w:val="-2"/>
        <w:w w:val="100"/>
        <w:sz w:val="22"/>
        <w:szCs w:val="22"/>
        <w:lang w:val="zh-CN" w:eastAsia="zh-CN" w:bidi="zh-CN"/>
      </w:rPr>
    </w:lvl>
    <w:lvl w:ilvl="1" w:tentative="0">
      <w:start w:val="0"/>
      <w:numFmt w:val="bullet"/>
      <w:lvlText w:val="•"/>
      <w:lvlJc w:val="left"/>
      <w:pPr>
        <w:ind w:left="3800" w:hanging="621"/>
      </w:pPr>
      <w:rPr>
        <w:rFonts w:hint="default"/>
        <w:lang w:val="zh-CN" w:eastAsia="zh-CN" w:bidi="zh-CN"/>
      </w:rPr>
    </w:lvl>
    <w:lvl w:ilvl="2" w:tentative="0">
      <w:start w:val="0"/>
      <w:numFmt w:val="bullet"/>
      <w:lvlText w:val="•"/>
      <w:lvlJc w:val="left"/>
      <w:pPr>
        <w:ind w:left="4701" w:hanging="621"/>
      </w:pPr>
      <w:rPr>
        <w:rFonts w:hint="default"/>
        <w:lang w:val="zh-CN" w:eastAsia="zh-CN" w:bidi="zh-CN"/>
      </w:rPr>
    </w:lvl>
    <w:lvl w:ilvl="3" w:tentative="0">
      <w:start w:val="0"/>
      <w:numFmt w:val="bullet"/>
      <w:lvlText w:val="•"/>
      <w:lvlJc w:val="left"/>
      <w:pPr>
        <w:ind w:left="5601" w:hanging="621"/>
      </w:pPr>
      <w:rPr>
        <w:rFonts w:hint="default"/>
        <w:lang w:val="zh-CN" w:eastAsia="zh-CN" w:bidi="zh-CN"/>
      </w:rPr>
    </w:lvl>
    <w:lvl w:ilvl="4" w:tentative="0">
      <w:start w:val="0"/>
      <w:numFmt w:val="bullet"/>
      <w:lvlText w:val="•"/>
      <w:lvlJc w:val="left"/>
      <w:pPr>
        <w:ind w:left="6502" w:hanging="621"/>
      </w:pPr>
      <w:rPr>
        <w:rFonts w:hint="default"/>
        <w:lang w:val="zh-CN" w:eastAsia="zh-CN" w:bidi="zh-CN"/>
      </w:rPr>
    </w:lvl>
    <w:lvl w:ilvl="5" w:tentative="0">
      <w:start w:val="0"/>
      <w:numFmt w:val="bullet"/>
      <w:lvlText w:val="•"/>
      <w:lvlJc w:val="left"/>
      <w:pPr>
        <w:ind w:left="7403" w:hanging="621"/>
      </w:pPr>
      <w:rPr>
        <w:rFonts w:hint="default"/>
        <w:lang w:val="zh-CN" w:eastAsia="zh-CN" w:bidi="zh-CN"/>
      </w:rPr>
    </w:lvl>
    <w:lvl w:ilvl="6" w:tentative="0">
      <w:start w:val="0"/>
      <w:numFmt w:val="bullet"/>
      <w:lvlText w:val="•"/>
      <w:lvlJc w:val="left"/>
      <w:pPr>
        <w:ind w:left="8303" w:hanging="621"/>
      </w:pPr>
      <w:rPr>
        <w:rFonts w:hint="default"/>
        <w:lang w:val="zh-CN" w:eastAsia="zh-CN" w:bidi="zh-CN"/>
      </w:rPr>
    </w:lvl>
    <w:lvl w:ilvl="7" w:tentative="0">
      <w:start w:val="0"/>
      <w:numFmt w:val="bullet"/>
      <w:lvlText w:val="•"/>
      <w:lvlJc w:val="left"/>
      <w:pPr>
        <w:ind w:left="9204" w:hanging="621"/>
      </w:pPr>
      <w:rPr>
        <w:rFonts w:hint="default"/>
        <w:lang w:val="zh-CN" w:eastAsia="zh-CN" w:bidi="zh-CN"/>
      </w:rPr>
    </w:lvl>
    <w:lvl w:ilvl="8" w:tentative="0">
      <w:start w:val="0"/>
      <w:numFmt w:val="bullet"/>
      <w:lvlText w:val="•"/>
      <w:lvlJc w:val="left"/>
      <w:pPr>
        <w:ind w:left="10104" w:hanging="621"/>
      </w:pPr>
      <w:rPr>
        <w:rFonts w:hint="default"/>
        <w:lang w:val="zh-CN" w:eastAsia="zh-CN" w:bidi="zh-CN"/>
      </w:rPr>
    </w:lvl>
  </w:abstractNum>
  <w:abstractNum w:abstractNumId="72">
    <w:nsid w:val="4C1BAE26"/>
    <w:multiLevelType w:val="multilevel"/>
    <w:tmpl w:val="4C1BAE26"/>
    <w:lvl w:ilvl="0" w:tentative="0">
      <w:start w:val="1"/>
      <w:numFmt w:val="decimal"/>
      <w:lvlText w:val="（%1）"/>
      <w:lvlJc w:val="left"/>
      <w:pPr>
        <w:ind w:left="2900" w:hanging="621"/>
        <w:jc w:val="left"/>
      </w:pPr>
      <w:rPr>
        <w:rFonts w:hint="default" w:ascii="微软雅黑" w:hAnsi="微软雅黑" w:eastAsia="微软雅黑" w:cs="微软雅黑"/>
        <w:spacing w:val="-2"/>
        <w:w w:val="100"/>
        <w:sz w:val="22"/>
        <w:szCs w:val="22"/>
        <w:lang w:val="zh-CN" w:eastAsia="zh-CN" w:bidi="zh-CN"/>
      </w:rPr>
    </w:lvl>
    <w:lvl w:ilvl="1" w:tentative="0">
      <w:start w:val="0"/>
      <w:numFmt w:val="bullet"/>
      <w:lvlText w:val="•"/>
      <w:lvlJc w:val="left"/>
      <w:pPr>
        <w:ind w:left="3800" w:hanging="621"/>
      </w:pPr>
      <w:rPr>
        <w:rFonts w:hint="default"/>
        <w:lang w:val="zh-CN" w:eastAsia="zh-CN" w:bidi="zh-CN"/>
      </w:rPr>
    </w:lvl>
    <w:lvl w:ilvl="2" w:tentative="0">
      <w:start w:val="0"/>
      <w:numFmt w:val="bullet"/>
      <w:lvlText w:val="•"/>
      <w:lvlJc w:val="left"/>
      <w:pPr>
        <w:ind w:left="4701" w:hanging="621"/>
      </w:pPr>
      <w:rPr>
        <w:rFonts w:hint="default"/>
        <w:lang w:val="zh-CN" w:eastAsia="zh-CN" w:bidi="zh-CN"/>
      </w:rPr>
    </w:lvl>
    <w:lvl w:ilvl="3" w:tentative="0">
      <w:start w:val="0"/>
      <w:numFmt w:val="bullet"/>
      <w:lvlText w:val="•"/>
      <w:lvlJc w:val="left"/>
      <w:pPr>
        <w:ind w:left="5601" w:hanging="621"/>
      </w:pPr>
      <w:rPr>
        <w:rFonts w:hint="default"/>
        <w:lang w:val="zh-CN" w:eastAsia="zh-CN" w:bidi="zh-CN"/>
      </w:rPr>
    </w:lvl>
    <w:lvl w:ilvl="4" w:tentative="0">
      <w:start w:val="0"/>
      <w:numFmt w:val="bullet"/>
      <w:lvlText w:val="•"/>
      <w:lvlJc w:val="left"/>
      <w:pPr>
        <w:ind w:left="6502" w:hanging="621"/>
      </w:pPr>
      <w:rPr>
        <w:rFonts w:hint="default"/>
        <w:lang w:val="zh-CN" w:eastAsia="zh-CN" w:bidi="zh-CN"/>
      </w:rPr>
    </w:lvl>
    <w:lvl w:ilvl="5" w:tentative="0">
      <w:start w:val="0"/>
      <w:numFmt w:val="bullet"/>
      <w:lvlText w:val="•"/>
      <w:lvlJc w:val="left"/>
      <w:pPr>
        <w:ind w:left="7403" w:hanging="621"/>
      </w:pPr>
      <w:rPr>
        <w:rFonts w:hint="default"/>
        <w:lang w:val="zh-CN" w:eastAsia="zh-CN" w:bidi="zh-CN"/>
      </w:rPr>
    </w:lvl>
    <w:lvl w:ilvl="6" w:tentative="0">
      <w:start w:val="0"/>
      <w:numFmt w:val="bullet"/>
      <w:lvlText w:val="•"/>
      <w:lvlJc w:val="left"/>
      <w:pPr>
        <w:ind w:left="8303" w:hanging="621"/>
      </w:pPr>
      <w:rPr>
        <w:rFonts w:hint="default"/>
        <w:lang w:val="zh-CN" w:eastAsia="zh-CN" w:bidi="zh-CN"/>
      </w:rPr>
    </w:lvl>
    <w:lvl w:ilvl="7" w:tentative="0">
      <w:start w:val="0"/>
      <w:numFmt w:val="bullet"/>
      <w:lvlText w:val="•"/>
      <w:lvlJc w:val="left"/>
      <w:pPr>
        <w:ind w:left="9204" w:hanging="621"/>
      </w:pPr>
      <w:rPr>
        <w:rFonts w:hint="default"/>
        <w:lang w:val="zh-CN" w:eastAsia="zh-CN" w:bidi="zh-CN"/>
      </w:rPr>
    </w:lvl>
    <w:lvl w:ilvl="8" w:tentative="0">
      <w:start w:val="0"/>
      <w:numFmt w:val="bullet"/>
      <w:lvlText w:val="•"/>
      <w:lvlJc w:val="left"/>
      <w:pPr>
        <w:ind w:left="10104" w:hanging="621"/>
      </w:pPr>
      <w:rPr>
        <w:rFonts w:hint="default"/>
        <w:lang w:val="zh-CN" w:eastAsia="zh-CN" w:bidi="zh-CN"/>
      </w:rPr>
    </w:lvl>
  </w:abstractNum>
  <w:abstractNum w:abstractNumId="73">
    <w:nsid w:val="4C3D7A74"/>
    <w:multiLevelType w:val="multilevel"/>
    <w:tmpl w:val="4C3D7A74"/>
    <w:lvl w:ilvl="0" w:tentative="0">
      <w:start w:val="1"/>
      <w:numFmt w:val="decimal"/>
      <w:lvlText w:val="（%1）"/>
      <w:lvlJc w:val="left"/>
      <w:pPr>
        <w:ind w:left="1800" w:hanging="623"/>
        <w:jc w:val="left"/>
      </w:pPr>
      <w:rPr>
        <w:rFonts w:hint="default" w:ascii="微软雅黑" w:hAnsi="微软雅黑" w:eastAsia="微软雅黑" w:cs="微软雅黑"/>
        <w:color w:val="333333"/>
        <w:spacing w:val="-16"/>
        <w:w w:val="100"/>
        <w:sz w:val="22"/>
        <w:szCs w:val="22"/>
        <w:lang w:val="zh-CN" w:eastAsia="zh-CN" w:bidi="zh-CN"/>
      </w:rPr>
    </w:lvl>
    <w:lvl w:ilvl="1" w:tentative="0">
      <w:start w:val="0"/>
      <w:numFmt w:val="bullet"/>
      <w:lvlText w:val="•"/>
      <w:lvlJc w:val="left"/>
      <w:pPr>
        <w:ind w:left="2810" w:hanging="623"/>
      </w:pPr>
      <w:rPr>
        <w:rFonts w:hint="default"/>
        <w:lang w:val="zh-CN" w:eastAsia="zh-CN" w:bidi="zh-CN"/>
      </w:rPr>
    </w:lvl>
    <w:lvl w:ilvl="2" w:tentative="0">
      <w:start w:val="0"/>
      <w:numFmt w:val="bullet"/>
      <w:lvlText w:val="•"/>
      <w:lvlJc w:val="left"/>
      <w:pPr>
        <w:ind w:left="3821" w:hanging="623"/>
      </w:pPr>
      <w:rPr>
        <w:rFonts w:hint="default"/>
        <w:lang w:val="zh-CN" w:eastAsia="zh-CN" w:bidi="zh-CN"/>
      </w:rPr>
    </w:lvl>
    <w:lvl w:ilvl="3" w:tentative="0">
      <w:start w:val="0"/>
      <w:numFmt w:val="bullet"/>
      <w:lvlText w:val="•"/>
      <w:lvlJc w:val="left"/>
      <w:pPr>
        <w:ind w:left="4831" w:hanging="623"/>
      </w:pPr>
      <w:rPr>
        <w:rFonts w:hint="default"/>
        <w:lang w:val="zh-CN" w:eastAsia="zh-CN" w:bidi="zh-CN"/>
      </w:rPr>
    </w:lvl>
    <w:lvl w:ilvl="4" w:tentative="0">
      <w:start w:val="0"/>
      <w:numFmt w:val="bullet"/>
      <w:lvlText w:val="•"/>
      <w:lvlJc w:val="left"/>
      <w:pPr>
        <w:ind w:left="5842" w:hanging="623"/>
      </w:pPr>
      <w:rPr>
        <w:rFonts w:hint="default"/>
        <w:lang w:val="zh-CN" w:eastAsia="zh-CN" w:bidi="zh-CN"/>
      </w:rPr>
    </w:lvl>
    <w:lvl w:ilvl="5" w:tentative="0">
      <w:start w:val="0"/>
      <w:numFmt w:val="bullet"/>
      <w:lvlText w:val="•"/>
      <w:lvlJc w:val="left"/>
      <w:pPr>
        <w:ind w:left="6853" w:hanging="623"/>
      </w:pPr>
      <w:rPr>
        <w:rFonts w:hint="default"/>
        <w:lang w:val="zh-CN" w:eastAsia="zh-CN" w:bidi="zh-CN"/>
      </w:rPr>
    </w:lvl>
    <w:lvl w:ilvl="6" w:tentative="0">
      <w:start w:val="0"/>
      <w:numFmt w:val="bullet"/>
      <w:lvlText w:val="•"/>
      <w:lvlJc w:val="left"/>
      <w:pPr>
        <w:ind w:left="7863" w:hanging="623"/>
      </w:pPr>
      <w:rPr>
        <w:rFonts w:hint="default"/>
        <w:lang w:val="zh-CN" w:eastAsia="zh-CN" w:bidi="zh-CN"/>
      </w:rPr>
    </w:lvl>
    <w:lvl w:ilvl="7" w:tentative="0">
      <w:start w:val="0"/>
      <w:numFmt w:val="bullet"/>
      <w:lvlText w:val="•"/>
      <w:lvlJc w:val="left"/>
      <w:pPr>
        <w:ind w:left="8874" w:hanging="623"/>
      </w:pPr>
      <w:rPr>
        <w:rFonts w:hint="default"/>
        <w:lang w:val="zh-CN" w:eastAsia="zh-CN" w:bidi="zh-CN"/>
      </w:rPr>
    </w:lvl>
    <w:lvl w:ilvl="8" w:tentative="0">
      <w:start w:val="0"/>
      <w:numFmt w:val="bullet"/>
      <w:lvlText w:val="•"/>
      <w:lvlJc w:val="left"/>
      <w:pPr>
        <w:ind w:left="9884" w:hanging="623"/>
      </w:pPr>
      <w:rPr>
        <w:rFonts w:hint="default"/>
        <w:lang w:val="zh-CN" w:eastAsia="zh-CN" w:bidi="zh-CN"/>
      </w:rPr>
    </w:lvl>
  </w:abstractNum>
  <w:abstractNum w:abstractNumId="74">
    <w:nsid w:val="4D4DC07F"/>
    <w:multiLevelType w:val="multilevel"/>
    <w:tmpl w:val="4D4DC07F"/>
    <w:lvl w:ilvl="0" w:tentative="0">
      <w:start w:val="1"/>
      <w:numFmt w:val="decimal"/>
      <w:lvlText w:val="%1."/>
      <w:lvlJc w:val="left"/>
      <w:pPr>
        <w:ind w:left="2480" w:hanging="201"/>
        <w:jc w:val="left"/>
      </w:pPr>
      <w:rPr>
        <w:rFonts w:hint="default"/>
        <w:spacing w:val="-3"/>
        <w:w w:val="100"/>
        <w:lang w:val="zh-CN" w:eastAsia="zh-CN" w:bidi="zh-CN"/>
      </w:rPr>
    </w:lvl>
    <w:lvl w:ilvl="1" w:tentative="0">
      <w:start w:val="0"/>
      <w:numFmt w:val="bullet"/>
      <w:lvlText w:val="•"/>
      <w:lvlJc w:val="left"/>
      <w:pPr>
        <w:ind w:left="3422" w:hanging="201"/>
      </w:pPr>
      <w:rPr>
        <w:rFonts w:hint="default"/>
        <w:lang w:val="zh-CN" w:eastAsia="zh-CN" w:bidi="zh-CN"/>
      </w:rPr>
    </w:lvl>
    <w:lvl w:ilvl="2" w:tentative="0">
      <w:start w:val="0"/>
      <w:numFmt w:val="bullet"/>
      <w:lvlText w:val="•"/>
      <w:lvlJc w:val="left"/>
      <w:pPr>
        <w:ind w:left="4365" w:hanging="201"/>
      </w:pPr>
      <w:rPr>
        <w:rFonts w:hint="default"/>
        <w:lang w:val="zh-CN" w:eastAsia="zh-CN" w:bidi="zh-CN"/>
      </w:rPr>
    </w:lvl>
    <w:lvl w:ilvl="3" w:tentative="0">
      <w:start w:val="0"/>
      <w:numFmt w:val="bullet"/>
      <w:lvlText w:val="•"/>
      <w:lvlJc w:val="left"/>
      <w:pPr>
        <w:ind w:left="5307" w:hanging="201"/>
      </w:pPr>
      <w:rPr>
        <w:rFonts w:hint="default"/>
        <w:lang w:val="zh-CN" w:eastAsia="zh-CN" w:bidi="zh-CN"/>
      </w:rPr>
    </w:lvl>
    <w:lvl w:ilvl="4" w:tentative="0">
      <w:start w:val="0"/>
      <w:numFmt w:val="bullet"/>
      <w:lvlText w:val="•"/>
      <w:lvlJc w:val="left"/>
      <w:pPr>
        <w:ind w:left="6250" w:hanging="201"/>
      </w:pPr>
      <w:rPr>
        <w:rFonts w:hint="default"/>
        <w:lang w:val="zh-CN" w:eastAsia="zh-CN" w:bidi="zh-CN"/>
      </w:rPr>
    </w:lvl>
    <w:lvl w:ilvl="5" w:tentative="0">
      <w:start w:val="0"/>
      <w:numFmt w:val="bullet"/>
      <w:lvlText w:val="•"/>
      <w:lvlJc w:val="left"/>
      <w:pPr>
        <w:ind w:left="7193" w:hanging="201"/>
      </w:pPr>
      <w:rPr>
        <w:rFonts w:hint="default"/>
        <w:lang w:val="zh-CN" w:eastAsia="zh-CN" w:bidi="zh-CN"/>
      </w:rPr>
    </w:lvl>
    <w:lvl w:ilvl="6" w:tentative="0">
      <w:start w:val="0"/>
      <w:numFmt w:val="bullet"/>
      <w:lvlText w:val="•"/>
      <w:lvlJc w:val="left"/>
      <w:pPr>
        <w:ind w:left="8135" w:hanging="201"/>
      </w:pPr>
      <w:rPr>
        <w:rFonts w:hint="default"/>
        <w:lang w:val="zh-CN" w:eastAsia="zh-CN" w:bidi="zh-CN"/>
      </w:rPr>
    </w:lvl>
    <w:lvl w:ilvl="7" w:tentative="0">
      <w:start w:val="0"/>
      <w:numFmt w:val="bullet"/>
      <w:lvlText w:val="•"/>
      <w:lvlJc w:val="left"/>
      <w:pPr>
        <w:ind w:left="9078" w:hanging="201"/>
      </w:pPr>
      <w:rPr>
        <w:rFonts w:hint="default"/>
        <w:lang w:val="zh-CN" w:eastAsia="zh-CN" w:bidi="zh-CN"/>
      </w:rPr>
    </w:lvl>
    <w:lvl w:ilvl="8" w:tentative="0">
      <w:start w:val="0"/>
      <w:numFmt w:val="bullet"/>
      <w:lvlText w:val="•"/>
      <w:lvlJc w:val="left"/>
      <w:pPr>
        <w:ind w:left="10020" w:hanging="201"/>
      </w:pPr>
      <w:rPr>
        <w:rFonts w:hint="default"/>
        <w:lang w:val="zh-CN" w:eastAsia="zh-CN" w:bidi="zh-CN"/>
      </w:rPr>
    </w:lvl>
  </w:abstractNum>
  <w:abstractNum w:abstractNumId="75">
    <w:nsid w:val="4D94DA66"/>
    <w:multiLevelType w:val="multilevel"/>
    <w:tmpl w:val="4D94DA66"/>
    <w:lvl w:ilvl="0" w:tentative="0">
      <w:start w:val="1"/>
      <w:numFmt w:val="decimal"/>
      <w:lvlText w:val="%1."/>
      <w:lvlJc w:val="left"/>
      <w:pPr>
        <w:ind w:left="2480" w:hanging="201"/>
        <w:jc w:val="left"/>
      </w:pPr>
      <w:rPr>
        <w:rFonts w:hint="default" w:ascii="微软雅黑" w:hAnsi="微软雅黑" w:eastAsia="微软雅黑" w:cs="微软雅黑"/>
        <w:color w:val="333333"/>
        <w:spacing w:val="-3"/>
        <w:w w:val="100"/>
        <w:sz w:val="22"/>
        <w:szCs w:val="22"/>
        <w:lang w:val="zh-CN" w:eastAsia="zh-CN" w:bidi="zh-CN"/>
      </w:rPr>
    </w:lvl>
    <w:lvl w:ilvl="1" w:tentative="0">
      <w:start w:val="0"/>
      <w:numFmt w:val="bullet"/>
      <w:lvlText w:val="•"/>
      <w:lvlJc w:val="left"/>
      <w:pPr>
        <w:ind w:left="3422" w:hanging="201"/>
      </w:pPr>
      <w:rPr>
        <w:rFonts w:hint="default"/>
        <w:lang w:val="zh-CN" w:eastAsia="zh-CN" w:bidi="zh-CN"/>
      </w:rPr>
    </w:lvl>
    <w:lvl w:ilvl="2" w:tentative="0">
      <w:start w:val="0"/>
      <w:numFmt w:val="bullet"/>
      <w:lvlText w:val="•"/>
      <w:lvlJc w:val="left"/>
      <w:pPr>
        <w:ind w:left="4365" w:hanging="201"/>
      </w:pPr>
      <w:rPr>
        <w:rFonts w:hint="default"/>
        <w:lang w:val="zh-CN" w:eastAsia="zh-CN" w:bidi="zh-CN"/>
      </w:rPr>
    </w:lvl>
    <w:lvl w:ilvl="3" w:tentative="0">
      <w:start w:val="0"/>
      <w:numFmt w:val="bullet"/>
      <w:lvlText w:val="•"/>
      <w:lvlJc w:val="left"/>
      <w:pPr>
        <w:ind w:left="5307" w:hanging="201"/>
      </w:pPr>
      <w:rPr>
        <w:rFonts w:hint="default"/>
        <w:lang w:val="zh-CN" w:eastAsia="zh-CN" w:bidi="zh-CN"/>
      </w:rPr>
    </w:lvl>
    <w:lvl w:ilvl="4" w:tentative="0">
      <w:start w:val="0"/>
      <w:numFmt w:val="bullet"/>
      <w:lvlText w:val="•"/>
      <w:lvlJc w:val="left"/>
      <w:pPr>
        <w:ind w:left="6250" w:hanging="201"/>
      </w:pPr>
      <w:rPr>
        <w:rFonts w:hint="default"/>
        <w:lang w:val="zh-CN" w:eastAsia="zh-CN" w:bidi="zh-CN"/>
      </w:rPr>
    </w:lvl>
    <w:lvl w:ilvl="5" w:tentative="0">
      <w:start w:val="0"/>
      <w:numFmt w:val="bullet"/>
      <w:lvlText w:val="•"/>
      <w:lvlJc w:val="left"/>
      <w:pPr>
        <w:ind w:left="7193" w:hanging="201"/>
      </w:pPr>
      <w:rPr>
        <w:rFonts w:hint="default"/>
        <w:lang w:val="zh-CN" w:eastAsia="zh-CN" w:bidi="zh-CN"/>
      </w:rPr>
    </w:lvl>
    <w:lvl w:ilvl="6" w:tentative="0">
      <w:start w:val="0"/>
      <w:numFmt w:val="bullet"/>
      <w:lvlText w:val="•"/>
      <w:lvlJc w:val="left"/>
      <w:pPr>
        <w:ind w:left="8135" w:hanging="201"/>
      </w:pPr>
      <w:rPr>
        <w:rFonts w:hint="default"/>
        <w:lang w:val="zh-CN" w:eastAsia="zh-CN" w:bidi="zh-CN"/>
      </w:rPr>
    </w:lvl>
    <w:lvl w:ilvl="7" w:tentative="0">
      <w:start w:val="0"/>
      <w:numFmt w:val="bullet"/>
      <w:lvlText w:val="•"/>
      <w:lvlJc w:val="left"/>
      <w:pPr>
        <w:ind w:left="9078" w:hanging="201"/>
      </w:pPr>
      <w:rPr>
        <w:rFonts w:hint="default"/>
        <w:lang w:val="zh-CN" w:eastAsia="zh-CN" w:bidi="zh-CN"/>
      </w:rPr>
    </w:lvl>
    <w:lvl w:ilvl="8" w:tentative="0">
      <w:start w:val="0"/>
      <w:numFmt w:val="bullet"/>
      <w:lvlText w:val="•"/>
      <w:lvlJc w:val="left"/>
      <w:pPr>
        <w:ind w:left="10020" w:hanging="201"/>
      </w:pPr>
      <w:rPr>
        <w:rFonts w:hint="default"/>
        <w:lang w:val="zh-CN" w:eastAsia="zh-CN" w:bidi="zh-CN"/>
      </w:rPr>
    </w:lvl>
  </w:abstractNum>
  <w:abstractNum w:abstractNumId="76">
    <w:nsid w:val="58765686"/>
    <w:multiLevelType w:val="multilevel"/>
    <w:tmpl w:val="58765686"/>
    <w:lvl w:ilvl="0" w:tentative="0">
      <w:start w:val="1"/>
      <w:numFmt w:val="decimal"/>
      <w:lvlText w:val="（%1）"/>
      <w:lvlJc w:val="left"/>
      <w:pPr>
        <w:ind w:left="2900" w:hanging="621"/>
        <w:jc w:val="left"/>
      </w:pPr>
      <w:rPr>
        <w:rFonts w:hint="default" w:ascii="微软雅黑" w:hAnsi="微软雅黑" w:eastAsia="微软雅黑" w:cs="微软雅黑"/>
        <w:color w:val="333333"/>
        <w:spacing w:val="-2"/>
        <w:w w:val="100"/>
        <w:sz w:val="22"/>
        <w:szCs w:val="22"/>
        <w:lang w:val="zh-CN" w:eastAsia="zh-CN" w:bidi="zh-CN"/>
      </w:rPr>
    </w:lvl>
    <w:lvl w:ilvl="1" w:tentative="0">
      <w:start w:val="0"/>
      <w:numFmt w:val="bullet"/>
      <w:lvlText w:val="•"/>
      <w:lvlJc w:val="left"/>
      <w:pPr>
        <w:ind w:left="3800" w:hanging="621"/>
      </w:pPr>
      <w:rPr>
        <w:rFonts w:hint="default"/>
        <w:lang w:val="zh-CN" w:eastAsia="zh-CN" w:bidi="zh-CN"/>
      </w:rPr>
    </w:lvl>
    <w:lvl w:ilvl="2" w:tentative="0">
      <w:start w:val="0"/>
      <w:numFmt w:val="bullet"/>
      <w:lvlText w:val="•"/>
      <w:lvlJc w:val="left"/>
      <w:pPr>
        <w:ind w:left="4701" w:hanging="621"/>
      </w:pPr>
      <w:rPr>
        <w:rFonts w:hint="default"/>
        <w:lang w:val="zh-CN" w:eastAsia="zh-CN" w:bidi="zh-CN"/>
      </w:rPr>
    </w:lvl>
    <w:lvl w:ilvl="3" w:tentative="0">
      <w:start w:val="0"/>
      <w:numFmt w:val="bullet"/>
      <w:lvlText w:val="•"/>
      <w:lvlJc w:val="left"/>
      <w:pPr>
        <w:ind w:left="5601" w:hanging="621"/>
      </w:pPr>
      <w:rPr>
        <w:rFonts w:hint="default"/>
        <w:lang w:val="zh-CN" w:eastAsia="zh-CN" w:bidi="zh-CN"/>
      </w:rPr>
    </w:lvl>
    <w:lvl w:ilvl="4" w:tentative="0">
      <w:start w:val="0"/>
      <w:numFmt w:val="bullet"/>
      <w:lvlText w:val="•"/>
      <w:lvlJc w:val="left"/>
      <w:pPr>
        <w:ind w:left="6502" w:hanging="621"/>
      </w:pPr>
      <w:rPr>
        <w:rFonts w:hint="default"/>
        <w:lang w:val="zh-CN" w:eastAsia="zh-CN" w:bidi="zh-CN"/>
      </w:rPr>
    </w:lvl>
    <w:lvl w:ilvl="5" w:tentative="0">
      <w:start w:val="0"/>
      <w:numFmt w:val="bullet"/>
      <w:lvlText w:val="•"/>
      <w:lvlJc w:val="left"/>
      <w:pPr>
        <w:ind w:left="7403" w:hanging="621"/>
      </w:pPr>
      <w:rPr>
        <w:rFonts w:hint="default"/>
        <w:lang w:val="zh-CN" w:eastAsia="zh-CN" w:bidi="zh-CN"/>
      </w:rPr>
    </w:lvl>
    <w:lvl w:ilvl="6" w:tentative="0">
      <w:start w:val="0"/>
      <w:numFmt w:val="bullet"/>
      <w:lvlText w:val="•"/>
      <w:lvlJc w:val="left"/>
      <w:pPr>
        <w:ind w:left="8303" w:hanging="621"/>
      </w:pPr>
      <w:rPr>
        <w:rFonts w:hint="default"/>
        <w:lang w:val="zh-CN" w:eastAsia="zh-CN" w:bidi="zh-CN"/>
      </w:rPr>
    </w:lvl>
    <w:lvl w:ilvl="7" w:tentative="0">
      <w:start w:val="0"/>
      <w:numFmt w:val="bullet"/>
      <w:lvlText w:val="•"/>
      <w:lvlJc w:val="left"/>
      <w:pPr>
        <w:ind w:left="9204" w:hanging="621"/>
      </w:pPr>
      <w:rPr>
        <w:rFonts w:hint="default"/>
        <w:lang w:val="zh-CN" w:eastAsia="zh-CN" w:bidi="zh-CN"/>
      </w:rPr>
    </w:lvl>
    <w:lvl w:ilvl="8" w:tentative="0">
      <w:start w:val="0"/>
      <w:numFmt w:val="bullet"/>
      <w:lvlText w:val="•"/>
      <w:lvlJc w:val="left"/>
      <w:pPr>
        <w:ind w:left="10104" w:hanging="621"/>
      </w:pPr>
      <w:rPr>
        <w:rFonts w:hint="default"/>
        <w:lang w:val="zh-CN" w:eastAsia="zh-CN" w:bidi="zh-CN"/>
      </w:rPr>
    </w:lvl>
  </w:abstractNum>
  <w:abstractNum w:abstractNumId="77">
    <w:nsid w:val="59ADCABA"/>
    <w:multiLevelType w:val="multilevel"/>
    <w:tmpl w:val="59ADCABA"/>
    <w:lvl w:ilvl="0" w:tentative="0">
      <w:start w:val="1"/>
      <w:numFmt w:val="decimal"/>
      <w:lvlText w:val="%1."/>
      <w:lvlJc w:val="left"/>
      <w:pPr>
        <w:ind w:left="1800" w:hanging="201"/>
        <w:jc w:val="left"/>
      </w:pPr>
      <w:rPr>
        <w:rFonts w:hint="default" w:ascii="微软雅黑" w:hAnsi="微软雅黑" w:eastAsia="微软雅黑" w:cs="微软雅黑"/>
        <w:color w:val="333333"/>
        <w:spacing w:val="-3"/>
        <w:w w:val="100"/>
        <w:sz w:val="22"/>
        <w:szCs w:val="22"/>
        <w:lang w:val="zh-CN" w:eastAsia="zh-CN" w:bidi="zh-CN"/>
      </w:rPr>
    </w:lvl>
    <w:lvl w:ilvl="1" w:tentative="0">
      <w:start w:val="0"/>
      <w:numFmt w:val="bullet"/>
      <w:lvlText w:val="•"/>
      <w:lvlJc w:val="left"/>
      <w:pPr>
        <w:ind w:left="2810" w:hanging="201"/>
      </w:pPr>
      <w:rPr>
        <w:rFonts w:hint="default"/>
        <w:lang w:val="zh-CN" w:eastAsia="zh-CN" w:bidi="zh-CN"/>
      </w:rPr>
    </w:lvl>
    <w:lvl w:ilvl="2" w:tentative="0">
      <w:start w:val="0"/>
      <w:numFmt w:val="bullet"/>
      <w:lvlText w:val="•"/>
      <w:lvlJc w:val="left"/>
      <w:pPr>
        <w:ind w:left="3821" w:hanging="201"/>
      </w:pPr>
      <w:rPr>
        <w:rFonts w:hint="default"/>
        <w:lang w:val="zh-CN" w:eastAsia="zh-CN" w:bidi="zh-CN"/>
      </w:rPr>
    </w:lvl>
    <w:lvl w:ilvl="3" w:tentative="0">
      <w:start w:val="0"/>
      <w:numFmt w:val="bullet"/>
      <w:lvlText w:val="•"/>
      <w:lvlJc w:val="left"/>
      <w:pPr>
        <w:ind w:left="4831" w:hanging="201"/>
      </w:pPr>
      <w:rPr>
        <w:rFonts w:hint="default"/>
        <w:lang w:val="zh-CN" w:eastAsia="zh-CN" w:bidi="zh-CN"/>
      </w:rPr>
    </w:lvl>
    <w:lvl w:ilvl="4" w:tentative="0">
      <w:start w:val="0"/>
      <w:numFmt w:val="bullet"/>
      <w:lvlText w:val="•"/>
      <w:lvlJc w:val="left"/>
      <w:pPr>
        <w:ind w:left="5842" w:hanging="201"/>
      </w:pPr>
      <w:rPr>
        <w:rFonts w:hint="default"/>
        <w:lang w:val="zh-CN" w:eastAsia="zh-CN" w:bidi="zh-CN"/>
      </w:rPr>
    </w:lvl>
    <w:lvl w:ilvl="5" w:tentative="0">
      <w:start w:val="0"/>
      <w:numFmt w:val="bullet"/>
      <w:lvlText w:val="•"/>
      <w:lvlJc w:val="left"/>
      <w:pPr>
        <w:ind w:left="6853" w:hanging="201"/>
      </w:pPr>
      <w:rPr>
        <w:rFonts w:hint="default"/>
        <w:lang w:val="zh-CN" w:eastAsia="zh-CN" w:bidi="zh-CN"/>
      </w:rPr>
    </w:lvl>
    <w:lvl w:ilvl="6" w:tentative="0">
      <w:start w:val="0"/>
      <w:numFmt w:val="bullet"/>
      <w:lvlText w:val="•"/>
      <w:lvlJc w:val="left"/>
      <w:pPr>
        <w:ind w:left="7863" w:hanging="201"/>
      </w:pPr>
      <w:rPr>
        <w:rFonts w:hint="default"/>
        <w:lang w:val="zh-CN" w:eastAsia="zh-CN" w:bidi="zh-CN"/>
      </w:rPr>
    </w:lvl>
    <w:lvl w:ilvl="7" w:tentative="0">
      <w:start w:val="0"/>
      <w:numFmt w:val="bullet"/>
      <w:lvlText w:val="•"/>
      <w:lvlJc w:val="left"/>
      <w:pPr>
        <w:ind w:left="8874" w:hanging="201"/>
      </w:pPr>
      <w:rPr>
        <w:rFonts w:hint="default"/>
        <w:lang w:val="zh-CN" w:eastAsia="zh-CN" w:bidi="zh-CN"/>
      </w:rPr>
    </w:lvl>
    <w:lvl w:ilvl="8" w:tentative="0">
      <w:start w:val="0"/>
      <w:numFmt w:val="bullet"/>
      <w:lvlText w:val="•"/>
      <w:lvlJc w:val="left"/>
      <w:pPr>
        <w:ind w:left="9884" w:hanging="201"/>
      </w:pPr>
      <w:rPr>
        <w:rFonts w:hint="default"/>
        <w:lang w:val="zh-CN" w:eastAsia="zh-CN" w:bidi="zh-CN"/>
      </w:rPr>
    </w:lvl>
  </w:abstractNum>
  <w:abstractNum w:abstractNumId="78">
    <w:nsid w:val="59EEFD2A"/>
    <w:multiLevelType w:val="multilevel"/>
    <w:tmpl w:val="59EEFD2A"/>
    <w:lvl w:ilvl="0" w:tentative="0">
      <w:start w:val="1"/>
      <w:numFmt w:val="decimal"/>
      <w:lvlText w:val="%1."/>
      <w:lvlJc w:val="left"/>
      <w:pPr>
        <w:ind w:left="1800"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2810" w:hanging="184"/>
      </w:pPr>
      <w:rPr>
        <w:rFonts w:hint="default"/>
        <w:lang w:val="zh-CN" w:eastAsia="zh-CN" w:bidi="zh-CN"/>
      </w:rPr>
    </w:lvl>
    <w:lvl w:ilvl="2" w:tentative="0">
      <w:start w:val="0"/>
      <w:numFmt w:val="bullet"/>
      <w:lvlText w:val="•"/>
      <w:lvlJc w:val="left"/>
      <w:pPr>
        <w:ind w:left="3821" w:hanging="184"/>
      </w:pPr>
      <w:rPr>
        <w:rFonts w:hint="default"/>
        <w:lang w:val="zh-CN" w:eastAsia="zh-CN" w:bidi="zh-CN"/>
      </w:rPr>
    </w:lvl>
    <w:lvl w:ilvl="3" w:tentative="0">
      <w:start w:val="0"/>
      <w:numFmt w:val="bullet"/>
      <w:lvlText w:val="•"/>
      <w:lvlJc w:val="left"/>
      <w:pPr>
        <w:ind w:left="4831" w:hanging="184"/>
      </w:pPr>
      <w:rPr>
        <w:rFonts w:hint="default"/>
        <w:lang w:val="zh-CN" w:eastAsia="zh-CN" w:bidi="zh-CN"/>
      </w:rPr>
    </w:lvl>
    <w:lvl w:ilvl="4" w:tentative="0">
      <w:start w:val="0"/>
      <w:numFmt w:val="bullet"/>
      <w:lvlText w:val="•"/>
      <w:lvlJc w:val="left"/>
      <w:pPr>
        <w:ind w:left="5842" w:hanging="184"/>
      </w:pPr>
      <w:rPr>
        <w:rFonts w:hint="default"/>
        <w:lang w:val="zh-CN" w:eastAsia="zh-CN" w:bidi="zh-CN"/>
      </w:rPr>
    </w:lvl>
    <w:lvl w:ilvl="5" w:tentative="0">
      <w:start w:val="0"/>
      <w:numFmt w:val="bullet"/>
      <w:lvlText w:val="•"/>
      <w:lvlJc w:val="left"/>
      <w:pPr>
        <w:ind w:left="6853" w:hanging="184"/>
      </w:pPr>
      <w:rPr>
        <w:rFonts w:hint="default"/>
        <w:lang w:val="zh-CN" w:eastAsia="zh-CN" w:bidi="zh-CN"/>
      </w:rPr>
    </w:lvl>
    <w:lvl w:ilvl="6" w:tentative="0">
      <w:start w:val="0"/>
      <w:numFmt w:val="bullet"/>
      <w:lvlText w:val="•"/>
      <w:lvlJc w:val="left"/>
      <w:pPr>
        <w:ind w:left="7863" w:hanging="184"/>
      </w:pPr>
      <w:rPr>
        <w:rFonts w:hint="default"/>
        <w:lang w:val="zh-CN" w:eastAsia="zh-CN" w:bidi="zh-CN"/>
      </w:rPr>
    </w:lvl>
    <w:lvl w:ilvl="7" w:tentative="0">
      <w:start w:val="0"/>
      <w:numFmt w:val="bullet"/>
      <w:lvlText w:val="•"/>
      <w:lvlJc w:val="left"/>
      <w:pPr>
        <w:ind w:left="8874" w:hanging="184"/>
      </w:pPr>
      <w:rPr>
        <w:rFonts w:hint="default"/>
        <w:lang w:val="zh-CN" w:eastAsia="zh-CN" w:bidi="zh-CN"/>
      </w:rPr>
    </w:lvl>
    <w:lvl w:ilvl="8" w:tentative="0">
      <w:start w:val="0"/>
      <w:numFmt w:val="bullet"/>
      <w:lvlText w:val="•"/>
      <w:lvlJc w:val="left"/>
      <w:pPr>
        <w:ind w:left="9884" w:hanging="184"/>
      </w:pPr>
      <w:rPr>
        <w:rFonts w:hint="default"/>
        <w:lang w:val="zh-CN" w:eastAsia="zh-CN" w:bidi="zh-CN"/>
      </w:rPr>
    </w:lvl>
  </w:abstractNum>
  <w:abstractNum w:abstractNumId="79">
    <w:nsid w:val="5A241D34"/>
    <w:multiLevelType w:val="multilevel"/>
    <w:tmpl w:val="5A241D34"/>
    <w:lvl w:ilvl="0" w:tentative="0">
      <w:start w:val="1"/>
      <w:numFmt w:val="decimal"/>
      <w:lvlText w:val="%1."/>
      <w:lvlJc w:val="left"/>
      <w:pPr>
        <w:ind w:left="1800" w:hanging="216"/>
        <w:jc w:val="left"/>
      </w:pPr>
      <w:rPr>
        <w:rFonts w:hint="default" w:ascii="微软雅黑" w:hAnsi="微软雅黑" w:eastAsia="微软雅黑" w:cs="微软雅黑"/>
        <w:color w:val="333333"/>
        <w:w w:val="100"/>
        <w:sz w:val="22"/>
        <w:szCs w:val="22"/>
        <w:lang w:val="zh-CN" w:eastAsia="zh-CN" w:bidi="zh-CN"/>
      </w:rPr>
    </w:lvl>
    <w:lvl w:ilvl="1" w:tentative="0">
      <w:start w:val="0"/>
      <w:numFmt w:val="bullet"/>
      <w:lvlText w:val="•"/>
      <w:lvlJc w:val="left"/>
      <w:pPr>
        <w:ind w:left="2810" w:hanging="216"/>
      </w:pPr>
      <w:rPr>
        <w:rFonts w:hint="default"/>
        <w:lang w:val="zh-CN" w:eastAsia="zh-CN" w:bidi="zh-CN"/>
      </w:rPr>
    </w:lvl>
    <w:lvl w:ilvl="2" w:tentative="0">
      <w:start w:val="0"/>
      <w:numFmt w:val="bullet"/>
      <w:lvlText w:val="•"/>
      <w:lvlJc w:val="left"/>
      <w:pPr>
        <w:ind w:left="3821" w:hanging="216"/>
      </w:pPr>
      <w:rPr>
        <w:rFonts w:hint="default"/>
        <w:lang w:val="zh-CN" w:eastAsia="zh-CN" w:bidi="zh-CN"/>
      </w:rPr>
    </w:lvl>
    <w:lvl w:ilvl="3" w:tentative="0">
      <w:start w:val="0"/>
      <w:numFmt w:val="bullet"/>
      <w:lvlText w:val="•"/>
      <w:lvlJc w:val="left"/>
      <w:pPr>
        <w:ind w:left="4831" w:hanging="216"/>
      </w:pPr>
      <w:rPr>
        <w:rFonts w:hint="default"/>
        <w:lang w:val="zh-CN" w:eastAsia="zh-CN" w:bidi="zh-CN"/>
      </w:rPr>
    </w:lvl>
    <w:lvl w:ilvl="4" w:tentative="0">
      <w:start w:val="0"/>
      <w:numFmt w:val="bullet"/>
      <w:lvlText w:val="•"/>
      <w:lvlJc w:val="left"/>
      <w:pPr>
        <w:ind w:left="5842" w:hanging="216"/>
      </w:pPr>
      <w:rPr>
        <w:rFonts w:hint="default"/>
        <w:lang w:val="zh-CN" w:eastAsia="zh-CN" w:bidi="zh-CN"/>
      </w:rPr>
    </w:lvl>
    <w:lvl w:ilvl="5" w:tentative="0">
      <w:start w:val="0"/>
      <w:numFmt w:val="bullet"/>
      <w:lvlText w:val="•"/>
      <w:lvlJc w:val="left"/>
      <w:pPr>
        <w:ind w:left="6853" w:hanging="216"/>
      </w:pPr>
      <w:rPr>
        <w:rFonts w:hint="default"/>
        <w:lang w:val="zh-CN" w:eastAsia="zh-CN" w:bidi="zh-CN"/>
      </w:rPr>
    </w:lvl>
    <w:lvl w:ilvl="6" w:tentative="0">
      <w:start w:val="0"/>
      <w:numFmt w:val="bullet"/>
      <w:lvlText w:val="•"/>
      <w:lvlJc w:val="left"/>
      <w:pPr>
        <w:ind w:left="7863" w:hanging="216"/>
      </w:pPr>
      <w:rPr>
        <w:rFonts w:hint="default"/>
        <w:lang w:val="zh-CN" w:eastAsia="zh-CN" w:bidi="zh-CN"/>
      </w:rPr>
    </w:lvl>
    <w:lvl w:ilvl="7" w:tentative="0">
      <w:start w:val="0"/>
      <w:numFmt w:val="bullet"/>
      <w:lvlText w:val="•"/>
      <w:lvlJc w:val="left"/>
      <w:pPr>
        <w:ind w:left="8874" w:hanging="216"/>
      </w:pPr>
      <w:rPr>
        <w:rFonts w:hint="default"/>
        <w:lang w:val="zh-CN" w:eastAsia="zh-CN" w:bidi="zh-CN"/>
      </w:rPr>
    </w:lvl>
    <w:lvl w:ilvl="8" w:tentative="0">
      <w:start w:val="0"/>
      <w:numFmt w:val="bullet"/>
      <w:lvlText w:val="•"/>
      <w:lvlJc w:val="left"/>
      <w:pPr>
        <w:ind w:left="9884" w:hanging="216"/>
      </w:pPr>
      <w:rPr>
        <w:rFonts w:hint="default"/>
        <w:lang w:val="zh-CN" w:eastAsia="zh-CN" w:bidi="zh-CN"/>
      </w:rPr>
    </w:lvl>
  </w:abstractNum>
  <w:abstractNum w:abstractNumId="80">
    <w:nsid w:val="5E29AB5A"/>
    <w:multiLevelType w:val="multilevel"/>
    <w:tmpl w:val="5E29AB5A"/>
    <w:lvl w:ilvl="0" w:tentative="0">
      <w:start w:val="1"/>
      <w:numFmt w:val="decimal"/>
      <w:lvlText w:val="（%1）"/>
      <w:lvlJc w:val="left"/>
      <w:pPr>
        <w:ind w:left="2900" w:hanging="621"/>
        <w:jc w:val="left"/>
      </w:pPr>
      <w:rPr>
        <w:rFonts w:hint="default" w:ascii="微软雅黑" w:hAnsi="微软雅黑" w:eastAsia="微软雅黑" w:cs="微软雅黑"/>
        <w:color w:val="333333"/>
        <w:spacing w:val="-2"/>
        <w:w w:val="100"/>
        <w:sz w:val="22"/>
        <w:szCs w:val="22"/>
        <w:lang w:val="zh-CN" w:eastAsia="zh-CN" w:bidi="zh-CN"/>
      </w:rPr>
    </w:lvl>
    <w:lvl w:ilvl="1" w:tentative="0">
      <w:start w:val="0"/>
      <w:numFmt w:val="bullet"/>
      <w:lvlText w:val="•"/>
      <w:lvlJc w:val="left"/>
      <w:pPr>
        <w:ind w:left="3800" w:hanging="621"/>
      </w:pPr>
      <w:rPr>
        <w:rFonts w:hint="default"/>
        <w:lang w:val="zh-CN" w:eastAsia="zh-CN" w:bidi="zh-CN"/>
      </w:rPr>
    </w:lvl>
    <w:lvl w:ilvl="2" w:tentative="0">
      <w:start w:val="0"/>
      <w:numFmt w:val="bullet"/>
      <w:lvlText w:val="•"/>
      <w:lvlJc w:val="left"/>
      <w:pPr>
        <w:ind w:left="4701" w:hanging="621"/>
      </w:pPr>
      <w:rPr>
        <w:rFonts w:hint="default"/>
        <w:lang w:val="zh-CN" w:eastAsia="zh-CN" w:bidi="zh-CN"/>
      </w:rPr>
    </w:lvl>
    <w:lvl w:ilvl="3" w:tentative="0">
      <w:start w:val="0"/>
      <w:numFmt w:val="bullet"/>
      <w:lvlText w:val="•"/>
      <w:lvlJc w:val="left"/>
      <w:pPr>
        <w:ind w:left="5601" w:hanging="621"/>
      </w:pPr>
      <w:rPr>
        <w:rFonts w:hint="default"/>
        <w:lang w:val="zh-CN" w:eastAsia="zh-CN" w:bidi="zh-CN"/>
      </w:rPr>
    </w:lvl>
    <w:lvl w:ilvl="4" w:tentative="0">
      <w:start w:val="0"/>
      <w:numFmt w:val="bullet"/>
      <w:lvlText w:val="•"/>
      <w:lvlJc w:val="left"/>
      <w:pPr>
        <w:ind w:left="6502" w:hanging="621"/>
      </w:pPr>
      <w:rPr>
        <w:rFonts w:hint="default"/>
        <w:lang w:val="zh-CN" w:eastAsia="zh-CN" w:bidi="zh-CN"/>
      </w:rPr>
    </w:lvl>
    <w:lvl w:ilvl="5" w:tentative="0">
      <w:start w:val="0"/>
      <w:numFmt w:val="bullet"/>
      <w:lvlText w:val="•"/>
      <w:lvlJc w:val="left"/>
      <w:pPr>
        <w:ind w:left="7403" w:hanging="621"/>
      </w:pPr>
      <w:rPr>
        <w:rFonts w:hint="default"/>
        <w:lang w:val="zh-CN" w:eastAsia="zh-CN" w:bidi="zh-CN"/>
      </w:rPr>
    </w:lvl>
    <w:lvl w:ilvl="6" w:tentative="0">
      <w:start w:val="0"/>
      <w:numFmt w:val="bullet"/>
      <w:lvlText w:val="•"/>
      <w:lvlJc w:val="left"/>
      <w:pPr>
        <w:ind w:left="8303" w:hanging="621"/>
      </w:pPr>
      <w:rPr>
        <w:rFonts w:hint="default"/>
        <w:lang w:val="zh-CN" w:eastAsia="zh-CN" w:bidi="zh-CN"/>
      </w:rPr>
    </w:lvl>
    <w:lvl w:ilvl="7" w:tentative="0">
      <w:start w:val="0"/>
      <w:numFmt w:val="bullet"/>
      <w:lvlText w:val="•"/>
      <w:lvlJc w:val="left"/>
      <w:pPr>
        <w:ind w:left="9204" w:hanging="621"/>
      </w:pPr>
      <w:rPr>
        <w:rFonts w:hint="default"/>
        <w:lang w:val="zh-CN" w:eastAsia="zh-CN" w:bidi="zh-CN"/>
      </w:rPr>
    </w:lvl>
    <w:lvl w:ilvl="8" w:tentative="0">
      <w:start w:val="0"/>
      <w:numFmt w:val="bullet"/>
      <w:lvlText w:val="•"/>
      <w:lvlJc w:val="left"/>
      <w:pPr>
        <w:ind w:left="10104" w:hanging="621"/>
      </w:pPr>
      <w:rPr>
        <w:rFonts w:hint="default"/>
        <w:lang w:val="zh-CN" w:eastAsia="zh-CN" w:bidi="zh-CN"/>
      </w:rPr>
    </w:lvl>
  </w:abstractNum>
  <w:abstractNum w:abstractNumId="81">
    <w:nsid w:val="5FFFB1A7"/>
    <w:multiLevelType w:val="multilevel"/>
    <w:tmpl w:val="5FFFB1A7"/>
    <w:lvl w:ilvl="0" w:tentative="0">
      <w:start w:val="1"/>
      <w:numFmt w:val="decimal"/>
      <w:lvlText w:val="（%1）"/>
      <w:lvlJc w:val="left"/>
      <w:pPr>
        <w:ind w:left="2900" w:hanging="621"/>
        <w:jc w:val="left"/>
      </w:pPr>
      <w:rPr>
        <w:rFonts w:hint="default" w:ascii="微软雅黑" w:hAnsi="微软雅黑" w:eastAsia="微软雅黑" w:cs="微软雅黑"/>
        <w:color w:val="333333"/>
        <w:spacing w:val="-2"/>
        <w:w w:val="100"/>
        <w:sz w:val="22"/>
        <w:szCs w:val="22"/>
        <w:lang w:val="zh-CN" w:eastAsia="zh-CN" w:bidi="zh-CN"/>
      </w:rPr>
    </w:lvl>
    <w:lvl w:ilvl="1" w:tentative="0">
      <w:start w:val="0"/>
      <w:numFmt w:val="bullet"/>
      <w:lvlText w:val="•"/>
      <w:lvlJc w:val="left"/>
      <w:pPr>
        <w:ind w:left="3800" w:hanging="621"/>
      </w:pPr>
      <w:rPr>
        <w:rFonts w:hint="default"/>
        <w:lang w:val="zh-CN" w:eastAsia="zh-CN" w:bidi="zh-CN"/>
      </w:rPr>
    </w:lvl>
    <w:lvl w:ilvl="2" w:tentative="0">
      <w:start w:val="0"/>
      <w:numFmt w:val="bullet"/>
      <w:lvlText w:val="•"/>
      <w:lvlJc w:val="left"/>
      <w:pPr>
        <w:ind w:left="4701" w:hanging="621"/>
      </w:pPr>
      <w:rPr>
        <w:rFonts w:hint="default"/>
        <w:lang w:val="zh-CN" w:eastAsia="zh-CN" w:bidi="zh-CN"/>
      </w:rPr>
    </w:lvl>
    <w:lvl w:ilvl="3" w:tentative="0">
      <w:start w:val="0"/>
      <w:numFmt w:val="bullet"/>
      <w:lvlText w:val="•"/>
      <w:lvlJc w:val="left"/>
      <w:pPr>
        <w:ind w:left="5601" w:hanging="621"/>
      </w:pPr>
      <w:rPr>
        <w:rFonts w:hint="default"/>
        <w:lang w:val="zh-CN" w:eastAsia="zh-CN" w:bidi="zh-CN"/>
      </w:rPr>
    </w:lvl>
    <w:lvl w:ilvl="4" w:tentative="0">
      <w:start w:val="0"/>
      <w:numFmt w:val="bullet"/>
      <w:lvlText w:val="•"/>
      <w:lvlJc w:val="left"/>
      <w:pPr>
        <w:ind w:left="6502" w:hanging="621"/>
      </w:pPr>
      <w:rPr>
        <w:rFonts w:hint="default"/>
        <w:lang w:val="zh-CN" w:eastAsia="zh-CN" w:bidi="zh-CN"/>
      </w:rPr>
    </w:lvl>
    <w:lvl w:ilvl="5" w:tentative="0">
      <w:start w:val="0"/>
      <w:numFmt w:val="bullet"/>
      <w:lvlText w:val="•"/>
      <w:lvlJc w:val="left"/>
      <w:pPr>
        <w:ind w:left="7403" w:hanging="621"/>
      </w:pPr>
      <w:rPr>
        <w:rFonts w:hint="default"/>
        <w:lang w:val="zh-CN" w:eastAsia="zh-CN" w:bidi="zh-CN"/>
      </w:rPr>
    </w:lvl>
    <w:lvl w:ilvl="6" w:tentative="0">
      <w:start w:val="0"/>
      <w:numFmt w:val="bullet"/>
      <w:lvlText w:val="•"/>
      <w:lvlJc w:val="left"/>
      <w:pPr>
        <w:ind w:left="8303" w:hanging="621"/>
      </w:pPr>
      <w:rPr>
        <w:rFonts w:hint="default"/>
        <w:lang w:val="zh-CN" w:eastAsia="zh-CN" w:bidi="zh-CN"/>
      </w:rPr>
    </w:lvl>
    <w:lvl w:ilvl="7" w:tentative="0">
      <w:start w:val="0"/>
      <w:numFmt w:val="bullet"/>
      <w:lvlText w:val="•"/>
      <w:lvlJc w:val="left"/>
      <w:pPr>
        <w:ind w:left="9204" w:hanging="621"/>
      </w:pPr>
      <w:rPr>
        <w:rFonts w:hint="default"/>
        <w:lang w:val="zh-CN" w:eastAsia="zh-CN" w:bidi="zh-CN"/>
      </w:rPr>
    </w:lvl>
    <w:lvl w:ilvl="8" w:tentative="0">
      <w:start w:val="0"/>
      <w:numFmt w:val="bullet"/>
      <w:lvlText w:val="•"/>
      <w:lvlJc w:val="left"/>
      <w:pPr>
        <w:ind w:left="10104" w:hanging="621"/>
      </w:pPr>
      <w:rPr>
        <w:rFonts w:hint="default"/>
        <w:lang w:val="zh-CN" w:eastAsia="zh-CN" w:bidi="zh-CN"/>
      </w:rPr>
    </w:lvl>
  </w:abstractNum>
  <w:abstractNum w:abstractNumId="82">
    <w:nsid w:val="60382F6E"/>
    <w:multiLevelType w:val="multilevel"/>
    <w:tmpl w:val="60382F6E"/>
    <w:lvl w:ilvl="0" w:tentative="0">
      <w:start w:val="1"/>
      <w:numFmt w:val="decimal"/>
      <w:lvlText w:val="%1."/>
      <w:lvlJc w:val="left"/>
      <w:pPr>
        <w:ind w:left="2480" w:hanging="201"/>
        <w:jc w:val="left"/>
      </w:pPr>
      <w:rPr>
        <w:rFonts w:hint="default" w:ascii="微软雅黑" w:hAnsi="微软雅黑" w:eastAsia="微软雅黑" w:cs="微软雅黑"/>
        <w:spacing w:val="-3"/>
        <w:w w:val="100"/>
        <w:sz w:val="22"/>
        <w:szCs w:val="22"/>
        <w:lang w:val="zh-CN" w:eastAsia="zh-CN" w:bidi="zh-CN"/>
      </w:rPr>
    </w:lvl>
    <w:lvl w:ilvl="1" w:tentative="0">
      <w:start w:val="0"/>
      <w:numFmt w:val="bullet"/>
      <w:lvlText w:val="•"/>
      <w:lvlJc w:val="left"/>
      <w:pPr>
        <w:ind w:left="3422" w:hanging="201"/>
      </w:pPr>
      <w:rPr>
        <w:rFonts w:hint="default"/>
        <w:lang w:val="zh-CN" w:eastAsia="zh-CN" w:bidi="zh-CN"/>
      </w:rPr>
    </w:lvl>
    <w:lvl w:ilvl="2" w:tentative="0">
      <w:start w:val="0"/>
      <w:numFmt w:val="bullet"/>
      <w:lvlText w:val="•"/>
      <w:lvlJc w:val="left"/>
      <w:pPr>
        <w:ind w:left="4365" w:hanging="201"/>
      </w:pPr>
      <w:rPr>
        <w:rFonts w:hint="default"/>
        <w:lang w:val="zh-CN" w:eastAsia="zh-CN" w:bidi="zh-CN"/>
      </w:rPr>
    </w:lvl>
    <w:lvl w:ilvl="3" w:tentative="0">
      <w:start w:val="0"/>
      <w:numFmt w:val="bullet"/>
      <w:lvlText w:val="•"/>
      <w:lvlJc w:val="left"/>
      <w:pPr>
        <w:ind w:left="5307" w:hanging="201"/>
      </w:pPr>
      <w:rPr>
        <w:rFonts w:hint="default"/>
        <w:lang w:val="zh-CN" w:eastAsia="zh-CN" w:bidi="zh-CN"/>
      </w:rPr>
    </w:lvl>
    <w:lvl w:ilvl="4" w:tentative="0">
      <w:start w:val="0"/>
      <w:numFmt w:val="bullet"/>
      <w:lvlText w:val="•"/>
      <w:lvlJc w:val="left"/>
      <w:pPr>
        <w:ind w:left="6250" w:hanging="201"/>
      </w:pPr>
      <w:rPr>
        <w:rFonts w:hint="default"/>
        <w:lang w:val="zh-CN" w:eastAsia="zh-CN" w:bidi="zh-CN"/>
      </w:rPr>
    </w:lvl>
    <w:lvl w:ilvl="5" w:tentative="0">
      <w:start w:val="0"/>
      <w:numFmt w:val="bullet"/>
      <w:lvlText w:val="•"/>
      <w:lvlJc w:val="left"/>
      <w:pPr>
        <w:ind w:left="7193" w:hanging="201"/>
      </w:pPr>
      <w:rPr>
        <w:rFonts w:hint="default"/>
        <w:lang w:val="zh-CN" w:eastAsia="zh-CN" w:bidi="zh-CN"/>
      </w:rPr>
    </w:lvl>
    <w:lvl w:ilvl="6" w:tentative="0">
      <w:start w:val="0"/>
      <w:numFmt w:val="bullet"/>
      <w:lvlText w:val="•"/>
      <w:lvlJc w:val="left"/>
      <w:pPr>
        <w:ind w:left="8135" w:hanging="201"/>
      </w:pPr>
      <w:rPr>
        <w:rFonts w:hint="default"/>
        <w:lang w:val="zh-CN" w:eastAsia="zh-CN" w:bidi="zh-CN"/>
      </w:rPr>
    </w:lvl>
    <w:lvl w:ilvl="7" w:tentative="0">
      <w:start w:val="0"/>
      <w:numFmt w:val="bullet"/>
      <w:lvlText w:val="•"/>
      <w:lvlJc w:val="left"/>
      <w:pPr>
        <w:ind w:left="9078" w:hanging="201"/>
      </w:pPr>
      <w:rPr>
        <w:rFonts w:hint="default"/>
        <w:lang w:val="zh-CN" w:eastAsia="zh-CN" w:bidi="zh-CN"/>
      </w:rPr>
    </w:lvl>
    <w:lvl w:ilvl="8" w:tentative="0">
      <w:start w:val="0"/>
      <w:numFmt w:val="bullet"/>
      <w:lvlText w:val="•"/>
      <w:lvlJc w:val="left"/>
      <w:pPr>
        <w:ind w:left="10020" w:hanging="201"/>
      </w:pPr>
      <w:rPr>
        <w:rFonts w:hint="default"/>
        <w:lang w:val="zh-CN" w:eastAsia="zh-CN" w:bidi="zh-CN"/>
      </w:rPr>
    </w:lvl>
  </w:abstractNum>
  <w:abstractNum w:abstractNumId="83">
    <w:nsid w:val="629F7852"/>
    <w:multiLevelType w:val="multilevel"/>
    <w:tmpl w:val="629F7852"/>
    <w:lvl w:ilvl="0" w:tentative="0">
      <w:start w:val="1"/>
      <w:numFmt w:val="decimal"/>
      <w:lvlText w:val="%1."/>
      <w:lvlJc w:val="left"/>
      <w:pPr>
        <w:ind w:left="2480" w:hanging="201"/>
        <w:jc w:val="left"/>
      </w:pPr>
      <w:rPr>
        <w:rFonts w:hint="default" w:ascii="微软雅黑" w:hAnsi="微软雅黑" w:eastAsia="微软雅黑" w:cs="微软雅黑"/>
        <w:color w:val="333333"/>
        <w:spacing w:val="-3"/>
        <w:w w:val="100"/>
        <w:sz w:val="22"/>
        <w:szCs w:val="22"/>
        <w:lang w:val="zh-CN" w:eastAsia="zh-CN" w:bidi="zh-CN"/>
      </w:rPr>
    </w:lvl>
    <w:lvl w:ilvl="1" w:tentative="0">
      <w:start w:val="0"/>
      <w:numFmt w:val="bullet"/>
      <w:lvlText w:val="•"/>
      <w:lvlJc w:val="left"/>
      <w:pPr>
        <w:ind w:left="3422" w:hanging="201"/>
      </w:pPr>
      <w:rPr>
        <w:rFonts w:hint="default"/>
        <w:lang w:val="zh-CN" w:eastAsia="zh-CN" w:bidi="zh-CN"/>
      </w:rPr>
    </w:lvl>
    <w:lvl w:ilvl="2" w:tentative="0">
      <w:start w:val="0"/>
      <w:numFmt w:val="bullet"/>
      <w:lvlText w:val="•"/>
      <w:lvlJc w:val="left"/>
      <w:pPr>
        <w:ind w:left="4365" w:hanging="201"/>
      </w:pPr>
      <w:rPr>
        <w:rFonts w:hint="default"/>
        <w:lang w:val="zh-CN" w:eastAsia="zh-CN" w:bidi="zh-CN"/>
      </w:rPr>
    </w:lvl>
    <w:lvl w:ilvl="3" w:tentative="0">
      <w:start w:val="0"/>
      <w:numFmt w:val="bullet"/>
      <w:lvlText w:val="•"/>
      <w:lvlJc w:val="left"/>
      <w:pPr>
        <w:ind w:left="5307" w:hanging="201"/>
      </w:pPr>
      <w:rPr>
        <w:rFonts w:hint="default"/>
        <w:lang w:val="zh-CN" w:eastAsia="zh-CN" w:bidi="zh-CN"/>
      </w:rPr>
    </w:lvl>
    <w:lvl w:ilvl="4" w:tentative="0">
      <w:start w:val="0"/>
      <w:numFmt w:val="bullet"/>
      <w:lvlText w:val="•"/>
      <w:lvlJc w:val="left"/>
      <w:pPr>
        <w:ind w:left="6250" w:hanging="201"/>
      </w:pPr>
      <w:rPr>
        <w:rFonts w:hint="default"/>
        <w:lang w:val="zh-CN" w:eastAsia="zh-CN" w:bidi="zh-CN"/>
      </w:rPr>
    </w:lvl>
    <w:lvl w:ilvl="5" w:tentative="0">
      <w:start w:val="0"/>
      <w:numFmt w:val="bullet"/>
      <w:lvlText w:val="•"/>
      <w:lvlJc w:val="left"/>
      <w:pPr>
        <w:ind w:left="7193" w:hanging="201"/>
      </w:pPr>
      <w:rPr>
        <w:rFonts w:hint="default"/>
        <w:lang w:val="zh-CN" w:eastAsia="zh-CN" w:bidi="zh-CN"/>
      </w:rPr>
    </w:lvl>
    <w:lvl w:ilvl="6" w:tentative="0">
      <w:start w:val="0"/>
      <w:numFmt w:val="bullet"/>
      <w:lvlText w:val="•"/>
      <w:lvlJc w:val="left"/>
      <w:pPr>
        <w:ind w:left="8135" w:hanging="201"/>
      </w:pPr>
      <w:rPr>
        <w:rFonts w:hint="default"/>
        <w:lang w:val="zh-CN" w:eastAsia="zh-CN" w:bidi="zh-CN"/>
      </w:rPr>
    </w:lvl>
    <w:lvl w:ilvl="7" w:tentative="0">
      <w:start w:val="0"/>
      <w:numFmt w:val="bullet"/>
      <w:lvlText w:val="•"/>
      <w:lvlJc w:val="left"/>
      <w:pPr>
        <w:ind w:left="9078" w:hanging="201"/>
      </w:pPr>
      <w:rPr>
        <w:rFonts w:hint="default"/>
        <w:lang w:val="zh-CN" w:eastAsia="zh-CN" w:bidi="zh-CN"/>
      </w:rPr>
    </w:lvl>
    <w:lvl w:ilvl="8" w:tentative="0">
      <w:start w:val="0"/>
      <w:numFmt w:val="bullet"/>
      <w:lvlText w:val="•"/>
      <w:lvlJc w:val="left"/>
      <w:pPr>
        <w:ind w:left="10020" w:hanging="201"/>
      </w:pPr>
      <w:rPr>
        <w:rFonts w:hint="default"/>
        <w:lang w:val="zh-CN" w:eastAsia="zh-CN" w:bidi="zh-CN"/>
      </w:rPr>
    </w:lvl>
  </w:abstractNum>
  <w:abstractNum w:abstractNumId="84">
    <w:nsid w:val="65CD0074"/>
    <w:multiLevelType w:val="multilevel"/>
    <w:tmpl w:val="65CD0074"/>
    <w:lvl w:ilvl="0" w:tentative="0">
      <w:start w:val="1"/>
      <w:numFmt w:val="decimal"/>
      <w:lvlText w:val="%1."/>
      <w:lvlJc w:val="left"/>
      <w:pPr>
        <w:ind w:left="1800" w:hanging="204"/>
        <w:jc w:val="left"/>
      </w:pPr>
      <w:rPr>
        <w:rFonts w:hint="default" w:ascii="微软雅黑" w:hAnsi="微软雅黑" w:eastAsia="微软雅黑" w:cs="微软雅黑"/>
        <w:color w:val="333333"/>
        <w:w w:val="100"/>
        <w:sz w:val="22"/>
        <w:szCs w:val="22"/>
        <w:lang w:val="zh-CN" w:eastAsia="zh-CN" w:bidi="zh-CN"/>
      </w:rPr>
    </w:lvl>
    <w:lvl w:ilvl="1" w:tentative="0">
      <w:start w:val="0"/>
      <w:numFmt w:val="bullet"/>
      <w:lvlText w:val="•"/>
      <w:lvlJc w:val="left"/>
      <w:pPr>
        <w:ind w:left="2810" w:hanging="204"/>
      </w:pPr>
      <w:rPr>
        <w:rFonts w:hint="default"/>
        <w:lang w:val="zh-CN" w:eastAsia="zh-CN" w:bidi="zh-CN"/>
      </w:rPr>
    </w:lvl>
    <w:lvl w:ilvl="2" w:tentative="0">
      <w:start w:val="0"/>
      <w:numFmt w:val="bullet"/>
      <w:lvlText w:val="•"/>
      <w:lvlJc w:val="left"/>
      <w:pPr>
        <w:ind w:left="3821" w:hanging="204"/>
      </w:pPr>
      <w:rPr>
        <w:rFonts w:hint="default"/>
        <w:lang w:val="zh-CN" w:eastAsia="zh-CN" w:bidi="zh-CN"/>
      </w:rPr>
    </w:lvl>
    <w:lvl w:ilvl="3" w:tentative="0">
      <w:start w:val="0"/>
      <w:numFmt w:val="bullet"/>
      <w:lvlText w:val="•"/>
      <w:lvlJc w:val="left"/>
      <w:pPr>
        <w:ind w:left="4831" w:hanging="204"/>
      </w:pPr>
      <w:rPr>
        <w:rFonts w:hint="default"/>
        <w:lang w:val="zh-CN" w:eastAsia="zh-CN" w:bidi="zh-CN"/>
      </w:rPr>
    </w:lvl>
    <w:lvl w:ilvl="4" w:tentative="0">
      <w:start w:val="0"/>
      <w:numFmt w:val="bullet"/>
      <w:lvlText w:val="•"/>
      <w:lvlJc w:val="left"/>
      <w:pPr>
        <w:ind w:left="5842" w:hanging="204"/>
      </w:pPr>
      <w:rPr>
        <w:rFonts w:hint="default"/>
        <w:lang w:val="zh-CN" w:eastAsia="zh-CN" w:bidi="zh-CN"/>
      </w:rPr>
    </w:lvl>
    <w:lvl w:ilvl="5" w:tentative="0">
      <w:start w:val="0"/>
      <w:numFmt w:val="bullet"/>
      <w:lvlText w:val="•"/>
      <w:lvlJc w:val="left"/>
      <w:pPr>
        <w:ind w:left="6853" w:hanging="204"/>
      </w:pPr>
      <w:rPr>
        <w:rFonts w:hint="default"/>
        <w:lang w:val="zh-CN" w:eastAsia="zh-CN" w:bidi="zh-CN"/>
      </w:rPr>
    </w:lvl>
    <w:lvl w:ilvl="6" w:tentative="0">
      <w:start w:val="0"/>
      <w:numFmt w:val="bullet"/>
      <w:lvlText w:val="•"/>
      <w:lvlJc w:val="left"/>
      <w:pPr>
        <w:ind w:left="7863" w:hanging="204"/>
      </w:pPr>
      <w:rPr>
        <w:rFonts w:hint="default"/>
        <w:lang w:val="zh-CN" w:eastAsia="zh-CN" w:bidi="zh-CN"/>
      </w:rPr>
    </w:lvl>
    <w:lvl w:ilvl="7" w:tentative="0">
      <w:start w:val="0"/>
      <w:numFmt w:val="bullet"/>
      <w:lvlText w:val="•"/>
      <w:lvlJc w:val="left"/>
      <w:pPr>
        <w:ind w:left="8874" w:hanging="204"/>
      </w:pPr>
      <w:rPr>
        <w:rFonts w:hint="default"/>
        <w:lang w:val="zh-CN" w:eastAsia="zh-CN" w:bidi="zh-CN"/>
      </w:rPr>
    </w:lvl>
    <w:lvl w:ilvl="8" w:tentative="0">
      <w:start w:val="0"/>
      <w:numFmt w:val="bullet"/>
      <w:lvlText w:val="•"/>
      <w:lvlJc w:val="left"/>
      <w:pPr>
        <w:ind w:left="9884" w:hanging="204"/>
      </w:pPr>
      <w:rPr>
        <w:rFonts w:hint="default"/>
        <w:lang w:val="zh-CN" w:eastAsia="zh-CN" w:bidi="zh-CN"/>
      </w:rPr>
    </w:lvl>
  </w:abstractNum>
  <w:abstractNum w:abstractNumId="85">
    <w:nsid w:val="700FDCEF"/>
    <w:multiLevelType w:val="multilevel"/>
    <w:tmpl w:val="700FDCEF"/>
    <w:lvl w:ilvl="0" w:tentative="0">
      <w:start w:val="1"/>
      <w:numFmt w:val="decimal"/>
      <w:lvlText w:val="%1."/>
      <w:lvlJc w:val="left"/>
      <w:pPr>
        <w:ind w:left="2480" w:hanging="201"/>
        <w:jc w:val="left"/>
      </w:pPr>
      <w:rPr>
        <w:rFonts w:hint="default" w:ascii="微软雅黑" w:hAnsi="微软雅黑" w:eastAsia="微软雅黑" w:cs="微软雅黑"/>
        <w:color w:val="333333"/>
        <w:spacing w:val="-3"/>
        <w:w w:val="100"/>
        <w:sz w:val="22"/>
        <w:szCs w:val="22"/>
        <w:lang w:val="zh-CN" w:eastAsia="zh-CN" w:bidi="zh-CN"/>
      </w:rPr>
    </w:lvl>
    <w:lvl w:ilvl="1" w:tentative="0">
      <w:start w:val="0"/>
      <w:numFmt w:val="bullet"/>
      <w:lvlText w:val="•"/>
      <w:lvlJc w:val="left"/>
      <w:pPr>
        <w:ind w:left="3422" w:hanging="201"/>
      </w:pPr>
      <w:rPr>
        <w:rFonts w:hint="default"/>
        <w:lang w:val="zh-CN" w:eastAsia="zh-CN" w:bidi="zh-CN"/>
      </w:rPr>
    </w:lvl>
    <w:lvl w:ilvl="2" w:tentative="0">
      <w:start w:val="0"/>
      <w:numFmt w:val="bullet"/>
      <w:lvlText w:val="•"/>
      <w:lvlJc w:val="left"/>
      <w:pPr>
        <w:ind w:left="4365" w:hanging="201"/>
      </w:pPr>
      <w:rPr>
        <w:rFonts w:hint="default"/>
        <w:lang w:val="zh-CN" w:eastAsia="zh-CN" w:bidi="zh-CN"/>
      </w:rPr>
    </w:lvl>
    <w:lvl w:ilvl="3" w:tentative="0">
      <w:start w:val="0"/>
      <w:numFmt w:val="bullet"/>
      <w:lvlText w:val="•"/>
      <w:lvlJc w:val="left"/>
      <w:pPr>
        <w:ind w:left="5307" w:hanging="201"/>
      </w:pPr>
      <w:rPr>
        <w:rFonts w:hint="default"/>
        <w:lang w:val="zh-CN" w:eastAsia="zh-CN" w:bidi="zh-CN"/>
      </w:rPr>
    </w:lvl>
    <w:lvl w:ilvl="4" w:tentative="0">
      <w:start w:val="0"/>
      <w:numFmt w:val="bullet"/>
      <w:lvlText w:val="•"/>
      <w:lvlJc w:val="left"/>
      <w:pPr>
        <w:ind w:left="6250" w:hanging="201"/>
      </w:pPr>
      <w:rPr>
        <w:rFonts w:hint="default"/>
        <w:lang w:val="zh-CN" w:eastAsia="zh-CN" w:bidi="zh-CN"/>
      </w:rPr>
    </w:lvl>
    <w:lvl w:ilvl="5" w:tentative="0">
      <w:start w:val="0"/>
      <w:numFmt w:val="bullet"/>
      <w:lvlText w:val="•"/>
      <w:lvlJc w:val="left"/>
      <w:pPr>
        <w:ind w:left="7193" w:hanging="201"/>
      </w:pPr>
      <w:rPr>
        <w:rFonts w:hint="default"/>
        <w:lang w:val="zh-CN" w:eastAsia="zh-CN" w:bidi="zh-CN"/>
      </w:rPr>
    </w:lvl>
    <w:lvl w:ilvl="6" w:tentative="0">
      <w:start w:val="0"/>
      <w:numFmt w:val="bullet"/>
      <w:lvlText w:val="•"/>
      <w:lvlJc w:val="left"/>
      <w:pPr>
        <w:ind w:left="8135" w:hanging="201"/>
      </w:pPr>
      <w:rPr>
        <w:rFonts w:hint="default"/>
        <w:lang w:val="zh-CN" w:eastAsia="zh-CN" w:bidi="zh-CN"/>
      </w:rPr>
    </w:lvl>
    <w:lvl w:ilvl="7" w:tentative="0">
      <w:start w:val="0"/>
      <w:numFmt w:val="bullet"/>
      <w:lvlText w:val="•"/>
      <w:lvlJc w:val="left"/>
      <w:pPr>
        <w:ind w:left="9078" w:hanging="201"/>
      </w:pPr>
      <w:rPr>
        <w:rFonts w:hint="default"/>
        <w:lang w:val="zh-CN" w:eastAsia="zh-CN" w:bidi="zh-CN"/>
      </w:rPr>
    </w:lvl>
    <w:lvl w:ilvl="8" w:tentative="0">
      <w:start w:val="0"/>
      <w:numFmt w:val="bullet"/>
      <w:lvlText w:val="•"/>
      <w:lvlJc w:val="left"/>
      <w:pPr>
        <w:ind w:left="10020" w:hanging="201"/>
      </w:pPr>
      <w:rPr>
        <w:rFonts w:hint="default"/>
        <w:lang w:val="zh-CN" w:eastAsia="zh-CN" w:bidi="zh-CN"/>
      </w:rPr>
    </w:lvl>
  </w:abstractNum>
  <w:abstractNum w:abstractNumId="86">
    <w:nsid w:val="72183CF9"/>
    <w:multiLevelType w:val="multilevel"/>
    <w:tmpl w:val="72183CF9"/>
    <w:lvl w:ilvl="0" w:tentative="0">
      <w:start w:val="1"/>
      <w:numFmt w:val="decimal"/>
      <w:lvlText w:val="%1."/>
      <w:lvlJc w:val="left"/>
      <w:pPr>
        <w:ind w:left="1800" w:hanging="201"/>
        <w:jc w:val="left"/>
      </w:pPr>
      <w:rPr>
        <w:rFonts w:hint="default" w:ascii="微软雅黑" w:hAnsi="微软雅黑" w:eastAsia="微软雅黑" w:cs="微软雅黑"/>
        <w:color w:val="333333"/>
        <w:spacing w:val="-3"/>
        <w:w w:val="100"/>
        <w:sz w:val="22"/>
        <w:szCs w:val="22"/>
        <w:lang w:val="zh-CN" w:eastAsia="zh-CN" w:bidi="zh-CN"/>
      </w:rPr>
    </w:lvl>
    <w:lvl w:ilvl="1" w:tentative="0">
      <w:start w:val="0"/>
      <w:numFmt w:val="bullet"/>
      <w:lvlText w:val="•"/>
      <w:lvlJc w:val="left"/>
      <w:pPr>
        <w:ind w:left="2810" w:hanging="201"/>
      </w:pPr>
      <w:rPr>
        <w:rFonts w:hint="default"/>
        <w:lang w:val="zh-CN" w:eastAsia="zh-CN" w:bidi="zh-CN"/>
      </w:rPr>
    </w:lvl>
    <w:lvl w:ilvl="2" w:tentative="0">
      <w:start w:val="0"/>
      <w:numFmt w:val="bullet"/>
      <w:lvlText w:val="•"/>
      <w:lvlJc w:val="left"/>
      <w:pPr>
        <w:ind w:left="3821" w:hanging="201"/>
      </w:pPr>
      <w:rPr>
        <w:rFonts w:hint="default"/>
        <w:lang w:val="zh-CN" w:eastAsia="zh-CN" w:bidi="zh-CN"/>
      </w:rPr>
    </w:lvl>
    <w:lvl w:ilvl="3" w:tentative="0">
      <w:start w:val="0"/>
      <w:numFmt w:val="bullet"/>
      <w:lvlText w:val="•"/>
      <w:lvlJc w:val="left"/>
      <w:pPr>
        <w:ind w:left="4831" w:hanging="201"/>
      </w:pPr>
      <w:rPr>
        <w:rFonts w:hint="default"/>
        <w:lang w:val="zh-CN" w:eastAsia="zh-CN" w:bidi="zh-CN"/>
      </w:rPr>
    </w:lvl>
    <w:lvl w:ilvl="4" w:tentative="0">
      <w:start w:val="0"/>
      <w:numFmt w:val="bullet"/>
      <w:lvlText w:val="•"/>
      <w:lvlJc w:val="left"/>
      <w:pPr>
        <w:ind w:left="5842" w:hanging="201"/>
      </w:pPr>
      <w:rPr>
        <w:rFonts w:hint="default"/>
        <w:lang w:val="zh-CN" w:eastAsia="zh-CN" w:bidi="zh-CN"/>
      </w:rPr>
    </w:lvl>
    <w:lvl w:ilvl="5" w:tentative="0">
      <w:start w:val="0"/>
      <w:numFmt w:val="bullet"/>
      <w:lvlText w:val="•"/>
      <w:lvlJc w:val="left"/>
      <w:pPr>
        <w:ind w:left="6853" w:hanging="201"/>
      </w:pPr>
      <w:rPr>
        <w:rFonts w:hint="default"/>
        <w:lang w:val="zh-CN" w:eastAsia="zh-CN" w:bidi="zh-CN"/>
      </w:rPr>
    </w:lvl>
    <w:lvl w:ilvl="6" w:tentative="0">
      <w:start w:val="0"/>
      <w:numFmt w:val="bullet"/>
      <w:lvlText w:val="•"/>
      <w:lvlJc w:val="left"/>
      <w:pPr>
        <w:ind w:left="7863" w:hanging="201"/>
      </w:pPr>
      <w:rPr>
        <w:rFonts w:hint="default"/>
        <w:lang w:val="zh-CN" w:eastAsia="zh-CN" w:bidi="zh-CN"/>
      </w:rPr>
    </w:lvl>
    <w:lvl w:ilvl="7" w:tentative="0">
      <w:start w:val="0"/>
      <w:numFmt w:val="bullet"/>
      <w:lvlText w:val="•"/>
      <w:lvlJc w:val="left"/>
      <w:pPr>
        <w:ind w:left="8874" w:hanging="201"/>
      </w:pPr>
      <w:rPr>
        <w:rFonts w:hint="default"/>
        <w:lang w:val="zh-CN" w:eastAsia="zh-CN" w:bidi="zh-CN"/>
      </w:rPr>
    </w:lvl>
    <w:lvl w:ilvl="8" w:tentative="0">
      <w:start w:val="0"/>
      <w:numFmt w:val="bullet"/>
      <w:lvlText w:val="•"/>
      <w:lvlJc w:val="left"/>
      <w:pPr>
        <w:ind w:left="9884" w:hanging="201"/>
      </w:pPr>
      <w:rPr>
        <w:rFonts w:hint="default"/>
        <w:lang w:val="zh-CN" w:eastAsia="zh-CN" w:bidi="zh-CN"/>
      </w:rPr>
    </w:lvl>
  </w:abstractNum>
  <w:abstractNum w:abstractNumId="87">
    <w:nsid w:val="74C28B35"/>
    <w:multiLevelType w:val="multilevel"/>
    <w:tmpl w:val="74C28B35"/>
    <w:lvl w:ilvl="0" w:tentative="0">
      <w:start w:val="1"/>
      <w:numFmt w:val="decimal"/>
      <w:lvlText w:val="%1."/>
      <w:lvlJc w:val="left"/>
      <w:pPr>
        <w:ind w:left="2480" w:hanging="201"/>
        <w:jc w:val="left"/>
      </w:pPr>
      <w:rPr>
        <w:rFonts w:hint="default" w:ascii="微软雅黑" w:hAnsi="微软雅黑" w:eastAsia="微软雅黑" w:cs="微软雅黑"/>
        <w:color w:val="333333"/>
        <w:spacing w:val="-3"/>
        <w:w w:val="100"/>
        <w:sz w:val="22"/>
        <w:szCs w:val="22"/>
        <w:lang w:val="zh-CN" w:eastAsia="zh-CN" w:bidi="zh-CN"/>
      </w:rPr>
    </w:lvl>
    <w:lvl w:ilvl="1" w:tentative="0">
      <w:start w:val="0"/>
      <w:numFmt w:val="bullet"/>
      <w:lvlText w:val="•"/>
      <w:lvlJc w:val="left"/>
      <w:pPr>
        <w:ind w:left="3422" w:hanging="201"/>
      </w:pPr>
      <w:rPr>
        <w:rFonts w:hint="default"/>
        <w:lang w:val="zh-CN" w:eastAsia="zh-CN" w:bidi="zh-CN"/>
      </w:rPr>
    </w:lvl>
    <w:lvl w:ilvl="2" w:tentative="0">
      <w:start w:val="0"/>
      <w:numFmt w:val="bullet"/>
      <w:lvlText w:val="•"/>
      <w:lvlJc w:val="left"/>
      <w:pPr>
        <w:ind w:left="4365" w:hanging="201"/>
      </w:pPr>
      <w:rPr>
        <w:rFonts w:hint="default"/>
        <w:lang w:val="zh-CN" w:eastAsia="zh-CN" w:bidi="zh-CN"/>
      </w:rPr>
    </w:lvl>
    <w:lvl w:ilvl="3" w:tentative="0">
      <w:start w:val="0"/>
      <w:numFmt w:val="bullet"/>
      <w:lvlText w:val="•"/>
      <w:lvlJc w:val="left"/>
      <w:pPr>
        <w:ind w:left="5307" w:hanging="201"/>
      </w:pPr>
      <w:rPr>
        <w:rFonts w:hint="default"/>
        <w:lang w:val="zh-CN" w:eastAsia="zh-CN" w:bidi="zh-CN"/>
      </w:rPr>
    </w:lvl>
    <w:lvl w:ilvl="4" w:tentative="0">
      <w:start w:val="0"/>
      <w:numFmt w:val="bullet"/>
      <w:lvlText w:val="•"/>
      <w:lvlJc w:val="left"/>
      <w:pPr>
        <w:ind w:left="6250" w:hanging="201"/>
      </w:pPr>
      <w:rPr>
        <w:rFonts w:hint="default"/>
        <w:lang w:val="zh-CN" w:eastAsia="zh-CN" w:bidi="zh-CN"/>
      </w:rPr>
    </w:lvl>
    <w:lvl w:ilvl="5" w:tentative="0">
      <w:start w:val="0"/>
      <w:numFmt w:val="bullet"/>
      <w:lvlText w:val="•"/>
      <w:lvlJc w:val="left"/>
      <w:pPr>
        <w:ind w:left="7193" w:hanging="201"/>
      </w:pPr>
      <w:rPr>
        <w:rFonts w:hint="default"/>
        <w:lang w:val="zh-CN" w:eastAsia="zh-CN" w:bidi="zh-CN"/>
      </w:rPr>
    </w:lvl>
    <w:lvl w:ilvl="6" w:tentative="0">
      <w:start w:val="0"/>
      <w:numFmt w:val="bullet"/>
      <w:lvlText w:val="•"/>
      <w:lvlJc w:val="left"/>
      <w:pPr>
        <w:ind w:left="8135" w:hanging="201"/>
      </w:pPr>
      <w:rPr>
        <w:rFonts w:hint="default"/>
        <w:lang w:val="zh-CN" w:eastAsia="zh-CN" w:bidi="zh-CN"/>
      </w:rPr>
    </w:lvl>
    <w:lvl w:ilvl="7" w:tentative="0">
      <w:start w:val="0"/>
      <w:numFmt w:val="bullet"/>
      <w:lvlText w:val="•"/>
      <w:lvlJc w:val="left"/>
      <w:pPr>
        <w:ind w:left="9078" w:hanging="201"/>
      </w:pPr>
      <w:rPr>
        <w:rFonts w:hint="default"/>
        <w:lang w:val="zh-CN" w:eastAsia="zh-CN" w:bidi="zh-CN"/>
      </w:rPr>
    </w:lvl>
    <w:lvl w:ilvl="8" w:tentative="0">
      <w:start w:val="0"/>
      <w:numFmt w:val="bullet"/>
      <w:lvlText w:val="•"/>
      <w:lvlJc w:val="left"/>
      <w:pPr>
        <w:ind w:left="10020" w:hanging="201"/>
      </w:pPr>
      <w:rPr>
        <w:rFonts w:hint="default"/>
        <w:lang w:val="zh-CN" w:eastAsia="zh-CN" w:bidi="zh-CN"/>
      </w:rPr>
    </w:lvl>
  </w:abstractNum>
  <w:abstractNum w:abstractNumId="88">
    <w:nsid w:val="77633216"/>
    <w:multiLevelType w:val="multilevel"/>
    <w:tmpl w:val="77633216"/>
    <w:lvl w:ilvl="0" w:tentative="0">
      <w:start w:val="1"/>
      <w:numFmt w:val="decimal"/>
      <w:lvlText w:val="%1."/>
      <w:lvlJc w:val="left"/>
      <w:pPr>
        <w:ind w:left="2463" w:hanging="184"/>
        <w:jc w:val="left"/>
      </w:pPr>
      <w:rPr>
        <w:rFonts w:hint="default" w:ascii="Calibri" w:hAnsi="Calibri" w:eastAsia="Calibri" w:cs="Calibri"/>
        <w:spacing w:val="-1"/>
        <w:w w:val="100"/>
        <w:sz w:val="22"/>
        <w:szCs w:val="22"/>
        <w:lang w:val="zh-CN" w:eastAsia="zh-CN" w:bidi="zh-CN"/>
      </w:rPr>
    </w:lvl>
    <w:lvl w:ilvl="1" w:tentative="0">
      <w:start w:val="0"/>
      <w:numFmt w:val="bullet"/>
      <w:lvlText w:val="•"/>
      <w:lvlJc w:val="left"/>
      <w:pPr>
        <w:ind w:left="3404" w:hanging="184"/>
      </w:pPr>
      <w:rPr>
        <w:rFonts w:hint="default"/>
        <w:lang w:val="zh-CN" w:eastAsia="zh-CN" w:bidi="zh-CN"/>
      </w:rPr>
    </w:lvl>
    <w:lvl w:ilvl="2" w:tentative="0">
      <w:start w:val="0"/>
      <w:numFmt w:val="bullet"/>
      <w:lvlText w:val="•"/>
      <w:lvlJc w:val="left"/>
      <w:pPr>
        <w:ind w:left="4349" w:hanging="184"/>
      </w:pPr>
      <w:rPr>
        <w:rFonts w:hint="default"/>
        <w:lang w:val="zh-CN" w:eastAsia="zh-CN" w:bidi="zh-CN"/>
      </w:rPr>
    </w:lvl>
    <w:lvl w:ilvl="3" w:tentative="0">
      <w:start w:val="0"/>
      <w:numFmt w:val="bullet"/>
      <w:lvlText w:val="•"/>
      <w:lvlJc w:val="left"/>
      <w:pPr>
        <w:ind w:left="5293" w:hanging="184"/>
      </w:pPr>
      <w:rPr>
        <w:rFonts w:hint="default"/>
        <w:lang w:val="zh-CN" w:eastAsia="zh-CN" w:bidi="zh-CN"/>
      </w:rPr>
    </w:lvl>
    <w:lvl w:ilvl="4" w:tentative="0">
      <w:start w:val="0"/>
      <w:numFmt w:val="bullet"/>
      <w:lvlText w:val="•"/>
      <w:lvlJc w:val="left"/>
      <w:pPr>
        <w:ind w:left="6238" w:hanging="184"/>
      </w:pPr>
      <w:rPr>
        <w:rFonts w:hint="default"/>
        <w:lang w:val="zh-CN" w:eastAsia="zh-CN" w:bidi="zh-CN"/>
      </w:rPr>
    </w:lvl>
    <w:lvl w:ilvl="5" w:tentative="0">
      <w:start w:val="0"/>
      <w:numFmt w:val="bullet"/>
      <w:lvlText w:val="•"/>
      <w:lvlJc w:val="left"/>
      <w:pPr>
        <w:ind w:left="7183" w:hanging="184"/>
      </w:pPr>
      <w:rPr>
        <w:rFonts w:hint="default"/>
        <w:lang w:val="zh-CN" w:eastAsia="zh-CN" w:bidi="zh-CN"/>
      </w:rPr>
    </w:lvl>
    <w:lvl w:ilvl="6" w:tentative="0">
      <w:start w:val="0"/>
      <w:numFmt w:val="bullet"/>
      <w:lvlText w:val="•"/>
      <w:lvlJc w:val="left"/>
      <w:pPr>
        <w:ind w:left="8127" w:hanging="184"/>
      </w:pPr>
      <w:rPr>
        <w:rFonts w:hint="default"/>
        <w:lang w:val="zh-CN" w:eastAsia="zh-CN" w:bidi="zh-CN"/>
      </w:rPr>
    </w:lvl>
    <w:lvl w:ilvl="7" w:tentative="0">
      <w:start w:val="0"/>
      <w:numFmt w:val="bullet"/>
      <w:lvlText w:val="•"/>
      <w:lvlJc w:val="left"/>
      <w:pPr>
        <w:ind w:left="9072" w:hanging="184"/>
      </w:pPr>
      <w:rPr>
        <w:rFonts w:hint="default"/>
        <w:lang w:val="zh-CN" w:eastAsia="zh-CN" w:bidi="zh-CN"/>
      </w:rPr>
    </w:lvl>
    <w:lvl w:ilvl="8" w:tentative="0">
      <w:start w:val="0"/>
      <w:numFmt w:val="bullet"/>
      <w:lvlText w:val="•"/>
      <w:lvlJc w:val="left"/>
      <w:pPr>
        <w:ind w:left="10016" w:hanging="184"/>
      </w:pPr>
      <w:rPr>
        <w:rFonts w:hint="default"/>
        <w:lang w:val="zh-CN" w:eastAsia="zh-CN" w:bidi="zh-CN"/>
      </w:rPr>
    </w:lvl>
  </w:abstractNum>
  <w:abstractNum w:abstractNumId="89">
    <w:nsid w:val="77ECEA79"/>
    <w:multiLevelType w:val="multilevel"/>
    <w:tmpl w:val="77ECEA79"/>
    <w:lvl w:ilvl="0" w:tentative="0">
      <w:start w:val="1"/>
      <w:numFmt w:val="decimal"/>
      <w:lvlText w:val="（%1）"/>
      <w:lvlJc w:val="left"/>
      <w:pPr>
        <w:ind w:left="2900" w:hanging="621"/>
        <w:jc w:val="left"/>
      </w:pPr>
      <w:rPr>
        <w:rFonts w:hint="default" w:ascii="微软雅黑" w:hAnsi="微软雅黑" w:eastAsia="微软雅黑" w:cs="微软雅黑"/>
        <w:color w:val="333333"/>
        <w:spacing w:val="-2"/>
        <w:w w:val="100"/>
        <w:sz w:val="22"/>
        <w:szCs w:val="22"/>
        <w:lang w:val="zh-CN" w:eastAsia="zh-CN" w:bidi="zh-CN"/>
      </w:rPr>
    </w:lvl>
    <w:lvl w:ilvl="1" w:tentative="0">
      <w:start w:val="0"/>
      <w:numFmt w:val="bullet"/>
      <w:lvlText w:val="•"/>
      <w:lvlJc w:val="left"/>
      <w:pPr>
        <w:ind w:left="3800" w:hanging="621"/>
      </w:pPr>
      <w:rPr>
        <w:rFonts w:hint="default"/>
        <w:lang w:val="zh-CN" w:eastAsia="zh-CN" w:bidi="zh-CN"/>
      </w:rPr>
    </w:lvl>
    <w:lvl w:ilvl="2" w:tentative="0">
      <w:start w:val="0"/>
      <w:numFmt w:val="bullet"/>
      <w:lvlText w:val="•"/>
      <w:lvlJc w:val="left"/>
      <w:pPr>
        <w:ind w:left="4701" w:hanging="621"/>
      </w:pPr>
      <w:rPr>
        <w:rFonts w:hint="default"/>
        <w:lang w:val="zh-CN" w:eastAsia="zh-CN" w:bidi="zh-CN"/>
      </w:rPr>
    </w:lvl>
    <w:lvl w:ilvl="3" w:tentative="0">
      <w:start w:val="0"/>
      <w:numFmt w:val="bullet"/>
      <w:lvlText w:val="•"/>
      <w:lvlJc w:val="left"/>
      <w:pPr>
        <w:ind w:left="5601" w:hanging="621"/>
      </w:pPr>
      <w:rPr>
        <w:rFonts w:hint="default"/>
        <w:lang w:val="zh-CN" w:eastAsia="zh-CN" w:bidi="zh-CN"/>
      </w:rPr>
    </w:lvl>
    <w:lvl w:ilvl="4" w:tentative="0">
      <w:start w:val="0"/>
      <w:numFmt w:val="bullet"/>
      <w:lvlText w:val="•"/>
      <w:lvlJc w:val="left"/>
      <w:pPr>
        <w:ind w:left="6502" w:hanging="621"/>
      </w:pPr>
      <w:rPr>
        <w:rFonts w:hint="default"/>
        <w:lang w:val="zh-CN" w:eastAsia="zh-CN" w:bidi="zh-CN"/>
      </w:rPr>
    </w:lvl>
    <w:lvl w:ilvl="5" w:tentative="0">
      <w:start w:val="0"/>
      <w:numFmt w:val="bullet"/>
      <w:lvlText w:val="•"/>
      <w:lvlJc w:val="left"/>
      <w:pPr>
        <w:ind w:left="7403" w:hanging="621"/>
      </w:pPr>
      <w:rPr>
        <w:rFonts w:hint="default"/>
        <w:lang w:val="zh-CN" w:eastAsia="zh-CN" w:bidi="zh-CN"/>
      </w:rPr>
    </w:lvl>
    <w:lvl w:ilvl="6" w:tentative="0">
      <w:start w:val="0"/>
      <w:numFmt w:val="bullet"/>
      <w:lvlText w:val="•"/>
      <w:lvlJc w:val="left"/>
      <w:pPr>
        <w:ind w:left="8303" w:hanging="621"/>
      </w:pPr>
      <w:rPr>
        <w:rFonts w:hint="default"/>
        <w:lang w:val="zh-CN" w:eastAsia="zh-CN" w:bidi="zh-CN"/>
      </w:rPr>
    </w:lvl>
    <w:lvl w:ilvl="7" w:tentative="0">
      <w:start w:val="0"/>
      <w:numFmt w:val="bullet"/>
      <w:lvlText w:val="•"/>
      <w:lvlJc w:val="left"/>
      <w:pPr>
        <w:ind w:left="9204" w:hanging="621"/>
      </w:pPr>
      <w:rPr>
        <w:rFonts w:hint="default"/>
        <w:lang w:val="zh-CN" w:eastAsia="zh-CN" w:bidi="zh-CN"/>
      </w:rPr>
    </w:lvl>
    <w:lvl w:ilvl="8" w:tentative="0">
      <w:start w:val="0"/>
      <w:numFmt w:val="bullet"/>
      <w:lvlText w:val="•"/>
      <w:lvlJc w:val="left"/>
      <w:pPr>
        <w:ind w:left="10104" w:hanging="621"/>
      </w:pPr>
      <w:rPr>
        <w:rFonts w:hint="default"/>
        <w:lang w:val="zh-CN" w:eastAsia="zh-CN" w:bidi="zh-CN"/>
      </w:rPr>
    </w:lvl>
  </w:abstractNum>
  <w:abstractNum w:abstractNumId="90">
    <w:nsid w:val="79AA4FA4"/>
    <w:multiLevelType w:val="multilevel"/>
    <w:tmpl w:val="79AA4FA4"/>
    <w:lvl w:ilvl="0" w:tentative="0">
      <w:start w:val="1"/>
      <w:numFmt w:val="decimal"/>
      <w:lvlText w:val="%1."/>
      <w:lvlJc w:val="left"/>
      <w:pPr>
        <w:ind w:left="2480" w:hanging="201"/>
        <w:jc w:val="left"/>
      </w:pPr>
      <w:rPr>
        <w:rFonts w:hint="default" w:ascii="微软雅黑" w:hAnsi="微软雅黑" w:eastAsia="微软雅黑" w:cs="微软雅黑"/>
        <w:color w:val="333333"/>
        <w:spacing w:val="-3"/>
        <w:w w:val="100"/>
        <w:sz w:val="22"/>
        <w:szCs w:val="22"/>
        <w:lang w:val="zh-CN" w:eastAsia="zh-CN" w:bidi="zh-CN"/>
      </w:rPr>
    </w:lvl>
    <w:lvl w:ilvl="1" w:tentative="0">
      <w:start w:val="0"/>
      <w:numFmt w:val="bullet"/>
      <w:lvlText w:val="•"/>
      <w:lvlJc w:val="left"/>
      <w:pPr>
        <w:ind w:left="3422" w:hanging="201"/>
      </w:pPr>
      <w:rPr>
        <w:rFonts w:hint="default"/>
        <w:lang w:val="zh-CN" w:eastAsia="zh-CN" w:bidi="zh-CN"/>
      </w:rPr>
    </w:lvl>
    <w:lvl w:ilvl="2" w:tentative="0">
      <w:start w:val="0"/>
      <w:numFmt w:val="bullet"/>
      <w:lvlText w:val="•"/>
      <w:lvlJc w:val="left"/>
      <w:pPr>
        <w:ind w:left="4365" w:hanging="201"/>
      </w:pPr>
      <w:rPr>
        <w:rFonts w:hint="default"/>
        <w:lang w:val="zh-CN" w:eastAsia="zh-CN" w:bidi="zh-CN"/>
      </w:rPr>
    </w:lvl>
    <w:lvl w:ilvl="3" w:tentative="0">
      <w:start w:val="0"/>
      <w:numFmt w:val="bullet"/>
      <w:lvlText w:val="•"/>
      <w:lvlJc w:val="left"/>
      <w:pPr>
        <w:ind w:left="5307" w:hanging="201"/>
      </w:pPr>
      <w:rPr>
        <w:rFonts w:hint="default"/>
        <w:lang w:val="zh-CN" w:eastAsia="zh-CN" w:bidi="zh-CN"/>
      </w:rPr>
    </w:lvl>
    <w:lvl w:ilvl="4" w:tentative="0">
      <w:start w:val="0"/>
      <w:numFmt w:val="bullet"/>
      <w:lvlText w:val="•"/>
      <w:lvlJc w:val="left"/>
      <w:pPr>
        <w:ind w:left="6250" w:hanging="201"/>
      </w:pPr>
      <w:rPr>
        <w:rFonts w:hint="default"/>
        <w:lang w:val="zh-CN" w:eastAsia="zh-CN" w:bidi="zh-CN"/>
      </w:rPr>
    </w:lvl>
    <w:lvl w:ilvl="5" w:tentative="0">
      <w:start w:val="0"/>
      <w:numFmt w:val="bullet"/>
      <w:lvlText w:val="•"/>
      <w:lvlJc w:val="left"/>
      <w:pPr>
        <w:ind w:left="7193" w:hanging="201"/>
      </w:pPr>
      <w:rPr>
        <w:rFonts w:hint="default"/>
        <w:lang w:val="zh-CN" w:eastAsia="zh-CN" w:bidi="zh-CN"/>
      </w:rPr>
    </w:lvl>
    <w:lvl w:ilvl="6" w:tentative="0">
      <w:start w:val="0"/>
      <w:numFmt w:val="bullet"/>
      <w:lvlText w:val="•"/>
      <w:lvlJc w:val="left"/>
      <w:pPr>
        <w:ind w:left="8135" w:hanging="201"/>
      </w:pPr>
      <w:rPr>
        <w:rFonts w:hint="default"/>
        <w:lang w:val="zh-CN" w:eastAsia="zh-CN" w:bidi="zh-CN"/>
      </w:rPr>
    </w:lvl>
    <w:lvl w:ilvl="7" w:tentative="0">
      <w:start w:val="0"/>
      <w:numFmt w:val="bullet"/>
      <w:lvlText w:val="•"/>
      <w:lvlJc w:val="left"/>
      <w:pPr>
        <w:ind w:left="9078" w:hanging="201"/>
      </w:pPr>
      <w:rPr>
        <w:rFonts w:hint="default"/>
        <w:lang w:val="zh-CN" w:eastAsia="zh-CN" w:bidi="zh-CN"/>
      </w:rPr>
    </w:lvl>
    <w:lvl w:ilvl="8" w:tentative="0">
      <w:start w:val="0"/>
      <w:numFmt w:val="bullet"/>
      <w:lvlText w:val="•"/>
      <w:lvlJc w:val="left"/>
      <w:pPr>
        <w:ind w:left="10020" w:hanging="201"/>
      </w:pPr>
      <w:rPr>
        <w:rFonts w:hint="default"/>
        <w:lang w:val="zh-CN" w:eastAsia="zh-CN" w:bidi="zh-CN"/>
      </w:rPr>
    </w:lvl>
  </w:abstractNum>
  <w:abstractNum w:abstractNumId="91">
    <w:nsid w:val="7C246926"/>
    <w:multiLevelType w:val="multilevel"/>
    <w:tmpl w:val="7C246926"/>
    <w:lvl w:ilvl="0" w:tentative="0">
      <w:start w:val="1"/>
      <w:numFmt w:val="decimal"/>
      <w:lvlText w:val="（%1）"/>
      <w:lvlJc w:val="left"/>
      <w:pPr>
        <w:ind w:left="2900" w:hanging="621"/>
        <w:jc w:val="left"/>
      </w:pPr>
      <w:rPr>
        <w:rFonts w:hint="default" w:ascii="微软雅黑" w:hAnsi="微软雅黑" w:eastAsia="微软雅黑" w:cs="微软雅黑"/>
        <w:color w:val="333333"/>
        <w:spacing w:val="-2"/>
        <w:w w:val="100"/>
        <w:sz w:val="22"/>
        <w:szCs w:val="22"/>
        <w:lang w:val="zh-CN" w:eastAsia="zh-CN" w:bidi="zh-CN"/>
      </w:rPr>
    </w:lvl>
    <w:lvl w:ilvl="1" w:tentative="0">
      <w:start w:val="0"/>
      <w:numFmt w:val="bullet"/>
      <w:lvlText w:val="•"/>
      <w:lvlJc w:val="left"/>
      <w:pPr>
        <w:ind w:left="3800" w:hanging="621"/>
      </w:pPr>
      <w:rPr>
        <w:rFonts w:hint="default"/>
        <w:lang w:val="zh-CN" w:eastAsia="zh-CN" w:bidi="zh-CN"/>
      </w:rPr>
    </w:lvl>
    <w:lvl w:ilvl="2" w:tentative="0">
      <w:start w:val="0"/>
      <w:numFmt w:val="bullet"/>
      <w:lvlText w:val="•"/>
      <w:lvlJc w:val="left"/>
      <w:pPr>
        <w:ind w:left="4701" w:hanging="621"/>
      </w:pPr>
      <w:rPr>
        <w:rFonts w:hint="default"/>
        <w:lang w:val="zh-CN" w:eastAsia="zh-CN" w:bidi="zh-CN"/>
      </w:rPr>
    </w:lvl>
    <w:lvl w:ilvl="3" w:tentative="0">
      <w:start w:val="0"/>
      <w:numFmt w:val="bullet"/>
      <w:lvlText w:val="•"/>
      <w:lvlJc w:val="left"/>
      <w:pPr>
        <w:ind w:left="5601" w:hanging="621"/>
      </w:pPr>
      <w:rPr>
        <w:rFonts w:hint="default"/>
        <w:lang w:val="zh-CN" w:eastAsia="zh-CN" w:bidi="zh-CN"/>
      </w:rPr>
    </w:lvl>
    <w:lvl w:ilvl="4" w:tentative="0">
      <w:start w:val="0"/>
      <w:numFmt w:val="bullet"/>
      <w:lvlText w:val="•"/>
      <w:lvlJc w:val="left"/>
      <w:pPr>
        <w:ind w:left="6502" w:hanging="621"/>
      </w:pPr>
      <w:rPr>
        <w:rFonts w:hint="default"/>
        <w:lang w:val="zh-CN" w:eastAsia="zh-CN" w:bidi="zh-CN"/>
      </w:rPr>
    </w:lvl>
    <w:lvl w:ilvl="5" w:tentative="0">
      <w:start w:val="0"/>
      <w:numFmt w:val="bullet"/>
      <w:lvlText w:val="•"/>
      <w:lvlJc w:val="left"/>
      <w:pPr>
        <w:ind w:left="7403" w:hanging="621"/>
      </w:pPr>
      <w:rPr>
        <w:rFonts w:hint="default"/>
        <w:lang w:val="zh-CN" w:eastAsia="zh-CN" w:bidi="zh-CN"/>
      </w:rPr>
    </w:lvl>
    <w:lvl w:ilvl="6" w:tentative="0">
      <w:start w:val="0"/>
      <w:numFmt w:val="bullet"/>
      <w:lvlText w:val="•"/>
      <w:lvlJc w:val="left"/>
      <w:pPr>
        <w:ind w:left="8303" w:hanging="621"/>
      </w:pPr>
      <w:rPr>
        <w:rFonts w:hint="default"/>
        <w:lang w:val="zh-CN" w:eastAsia="zh-CN" w:bidi="zh-CN"/>
      </w:rPr>
    </w:lvl>
    <w:lvl w:ilvl="7" w:tentative="0">
      <w:start w:val="0"/>
      <w:numFmt w:val="bullet"/>
      <w:lvlText w:val="•"/>
      <w:lvlJc w:val="left"/>
      <w:pPr>
        <w:ind w:left="9204" w:hanging="621"/>
      </w:pPr>
      <w:rPr>
        <w:rFonts w:hint="default"/>
        <w:lang w:val="zh-CN" w:eastAsia="zh-CN" w:bidi="zh-CN"/>
      </w:rPr>
    </w:lvl>
    <w:lvl w:ilvl="8" w:tentative="0">
      <w:start w:val="0"/>
      <w:numFmt w:val="bullet"/>
      <w:lvlText w:val="•"/>
      <w:lvlJc w:val="left"/>
      <w:pPr>
        <w:ind w:left="10104" w:hanging="621"/>
      </w:pPr>
      <w:rPr>
        <w:rFonts w:hint="default"/>
        <w:lang w:val="zh-CN" w:eastAsia="zh-CN" w:bidi="zh-CN"/>
      </w:rPr>
    </w:lvl>
  </w:abstractNum>
  <w:abstractNum w:abstractNumId="92">
    <w:nsid w:val="7DEC2089"/>
    <w:multiLevelType w:val="multilevel"/>
    <w:tmpl w:val="7DEC2089"/>
    <w:lvl w:ilvl="0" w:tentative="0">
      <w:start w:val="1"/>
      <w:numFmt w:val="decimal"/>
      <w:lvlText w:val="%1."/>
      <w:lvlJc w:val="left"/>
      <w:pPr>
        <w:ind w:left="2480" w:hanging="201"/>
        <w:jc w:val="left"/>
      </w:pPr>
      <w:rPr>
        <w:rFonts w:hint="default" w:ascii="微软雅黑" w:hAnsi="微软雅黑" w:eastAsia="微软雅黑" w:cs="微软雅黑"/>
        <w:color w:val="333333"/>
        <w:spacing w:val="-3"/>
        <w:w w:val="100"/>
        <w:sz w:val="22"/>
        <w:szCs w:val="22"/>
        <w:lang w:val="zh-CN" w:eastAsia="zh-CN" w:bidi="zh-CN"/>
      </w:rPr>
    </w:lvl>
    <w:lvl w:ilvl="1" w:tentative="0">
      <w:start w:val="0"/>
      <w:numFmt w:val="bullet"/>
      <w:lvlText w:val="•"/>
      <w:lvlJc w:val="left"/>
      <w:pPr>
        <w:ind w:left="3422" w:hanging="201"/>
      </w:pPr>
      <w:rPr>
        <w:rFonts w:hint="default"/>
        <w:lang w:val="zh-CN" w:eastAsia="zh-CN" w:bidi="zh-CN"/>
      </w:rPr>
    </w:lvl>
    <w:lvl w:ilvl="2" w:tentative="0">
      <w:start w:val="0"/>
      <w:numFmt w:val="bullet"/>
      <w:lvlText w:val="•"/>
      <w:lvlJc w:val="left"/>
      <w:pPr>
        <w:ind w:left="4365" w:hanging="201"/>
      </w:pPr>
      <w:rPr>
        <w:rFonts w:hint="default"/>
        <w:lang w:val="zh-CN" w:eastAsia="zh-CN" w:bidi="zh-CN"/>
      </w:rPr>
    </w:lvl>
    <w:lvl w:ilvl="3" w:tentative="0">
      <w:start w:val="0"/>
      <w:numFmt w:val="bullet"/>
      <w:lvlText w:val="•"/>
      <w:lvlJc w:val="left"/>
      <w:pPr>
        <w:ind w:left="5307" w:hanging="201"/>
      </w:pPr>
      <w:rPr>
        <w:rFonts w:hint="default"/>
        <w:lang w:val="zh-CN" w:eastAsia="zh-CN" w:bidi="zh-CN"/>
      </w:rPr>
    </w:lvl>
    <w:lvl w:ilvl="4" w:tentative="0">
      <w:start w:val="0"/>
      <w:numFmt w:val="bullet"/>
      <w:lvlText w:val="•"/>
      <w:lvlJc w:val="left"/>
      <w:pPr>
        <w:ind w:left="6250" w:hanging="201"/>
      </w:pPr>
      <w:rPr>
        <w:rFonts w:hint="default"/>
        <w:lang w:val="zh-CN" w:eastAsia="zh-CN" w:bidi="zh-CN"/>
      </w:rPr>
    </w:lvl>
    <w:lvl w:ilvl="5" w:tentative="0">
      <w:start w:val="0"/>
      <w:numFmt w:val="bullet"/>
      <w:lvlText w:val="•"/>
      <w:lvlJc w:val="left"/>
      <w:pPr>
        <w:ind w:left="7193" w:hanging="201"/>
      </w:pPr>
      <w:rPr>
        <w:rFonts w:hint="default"/>
        <w:lang w:val="zh-CN" w:eastAsia="zh-CN" w:bidi="zh-CN"/>
      </w:rPr>
    </w:lvl>
    <w:lvl w:ilvl="6" w:tentative="0">
      <w:start w:val="0"/>
      <w:numFmt w:val="bullet"/>
      <w:lvlText w:val="•"/>
      <w:lvlJc w:val="left"/>
      <w:pPr>
        <w:ind w:left="8135" w:hanging="201"/>
      </w:pPr>
      <w:rPr>
        <w:rFonts w:hint="default"/>
        <w:lang w:val="zh-CN" w:eastAsia="zh-CN" w:bidi="zh-CN"/>
      </w:rPr>
    </w:lvl>
    <w:lvl w:ilvl="7" w:tentative="0">
      <w:start w:val="0"/>
      <w:numFmt w:val="bullet"/>
      <w:lvlText w:val="•"/>
      <w:lvlJc w:val="left"/>
      <w:pPr>
        <w:ind w:left="9078" w:hanging="201"/>
      </w:pPr>
      <w:rPr>
        <w:rFonts w:hint="default"/>
        <w:lang w:val="zh-CN" w:eastAsia="zh-CN" w:bidi="zh-CN"/>
      </w:rPr>
    </w:lvl>
    <w:lvl w:ilvl="8" w:tentative="0">
      <w:start w:val="0"/>
      <w:numFmt w:val="bullet"/>
      <w:lvlText w:val="•"/>
      <w:lvlJc w:val="left"/>
      <w:pPr>
        <w:ind w:left="10020" w:hanging="201"/>
      </w:pPr>
      <w:rPr>
        <w:rFonts w:hint="default"/>
        <w:lang w:val="zh-CN" w:eastAsia="zh-CN" w:bidi="zh-CN"/>
      </w:rPr>
    </w:lvl>
  </w:abstractNum>
  <w:num w:numId="1">
    <w:abstractNumId w:val="43"/>
  </w:num>
  <w:num w:numId="2">
    <w:abstractNumId w:val="30"/>
  </w:num>
  <w:num w:numId="3">
    <w:abstractNumId w:val="77"/>
  </w:num>
  <w:num w:numId="4">
    <w:abstractNumId w:val="26"/>
  </w:num>
  <w:num w:numId="5">
    <w:abstractNumId w:val="19"/>
  </w:num>
  <w:num w:numId="6">
    <w:abstractNumId w:val="46"/>
  </w:num>
  <w:num w:numId="7">
    <w:abstractNumId w:val="60"/>
  </w:num>
  <w:num w:numId="8">
    <w:abstractNumId w:val="86"/>
  </w:num>
  <w:num w:numId="9">
    <w:abstractNumId w:val="44"/>
  </w:num>
  <w:num w:numId="10">
    <w:abstractNumId w:val="6"/>
  </w:num>
  <w:num w:numId="11">
    <w:abstractNumId w:val="61"/>
  </w:num>
  <w:num w:numId="12">
    <w:abstractNumId w:val="79"/>
  </w:num>
  <w:num w:numId="13">
    <w:abstractNumId w:val="29"/>
  </w:num>
  <w:num w:numId="14">
    <w:abstractNumId w:val="74"/>
  </w:num>
  <w:num w:numId="15">
    <w:abstractNumId w:val="39"/>
  </w:num>
  <w:num w:numId="16">
    <w:abstractNumId w:val="59"/>
  </w:num>
  <w:num w:numId="17">
    <w:abstractNumId w:val="34"/>
  </w:num>
  <w:num w:numId="18">
    <w:abstractNumId w:val="32"/>
  </w:num>
  <w:num w:numId="19">
    <w:abstractNumId w:val="10"/>
  </w:num>
  <w:num w:numId="20">
    <w:abstractNumId w:val="72"/>
  </w:num>
  <w:num w:numId="21">
    <w:abstractNumId w:val="82"/>
  </w:num>
  <w:num w:numId="22">
    <w:abstractNumId w:val="49"/>
  </w:num>
  <w:num w:numId="23">
    <w:abstractNumId w:val="71"/>
  </w:num>
  <w:num w:numId="24">
    <w:abstractNumId w:val="16"/>
  </w:num>
  <w:num w:numId="25">
    <w:abstractNumId w:val="91"/>
  </w:num>
  <w:num w:numId="26">
    <w:abstractNumId w:val="89"/>
  </w:num>
  <w:num w:numId="27">
    <w:abstractNumId w:val="25"/>
  </w:num>
  <w:num w:numId="28">
    <w:abstractNumId w:val="83"/>
  </w:num>
  <w:num w:numId="29">
    <w:abstractNumId w:val="7"/>
  </w:num>
  <w:num w:numId="30">
    <w:abstractNumId w:val="68"/>
  </w:num>
  <w:num w:numId="31">
    <w:abstractNumId w:val="2"/>
  </w:num>
  <w:num w:numId="32">
    <w:abstractNumId w:val="76"/>
  </w:num>
  <w:num w:numId="33">
    <w:abstractNumId w:val="92"/>
  </w:num>
  <w:num w:numId="34">
    <w:abstractNumId w:val="0"/>
  </w:num>
  <w:num w:numId="35">
    <w:abstractNumId w:val="58"/>
  </w:num>
  <w:num w:numId="36">
    <w:abstractNumId w:val="75"/>
  </w:num>
  <w:num w:numId="37">
    <w:abstractNumId w:val="41"/>
  </w:num>
  <w:num w:numId="38">
    <w:abstractNumId w:val="35"/>
  </w:num>
  <w:num w:numId="39">
    <w:abstractNumId w:val="64"/>
  </w:num>
  <w:num w:numId="40">
    <w:abstractNumId w:val="90"/>
  </w:num>
  <w:num w:numId="41">
    <w:abstractNumId w:val="22"/>
  </w:num>
  <w:num w:numId="42">
    <w:abstractNumId w:val="4"/>
  </w:num>
  <w:num w:numId="43">
    <w:abstractNumId w:val="21"/>
  </w:num>
  <w:num w:numId="44">
    <w:abstractNumId w:val="80"/>
  </w:num>
  <w:num w:numId="45">
    <w:abstractNumId w:val="1"/>
  </w:num>
  <w:num w:numId="46">
    <w:abstractNumId w:val="54"/>
  </w:num>
  <w:num w:numId="47">
    <w:abstractNumId w:val="3"/>
  </w:num>
  <w:num w:numId="48">
    <w:abstractNumId w:val="81"/>
  </w:num>
  <w:num w:numId="49">
    <w:abstractNumId w:val="87"/>
  </w:num>
  <w:num w:numId="50">
    <w:abstractNumId w:val="73"/>
  </w:num>
  <w:num w:numId="51">
    <w:abstractNumId w:val="65"/>
  </w:num>
  <w:num w:numId="52">
    <w:abstractNumId w:val="84"/>
  </w:num>
  <w:num w:numId="53">
    <w:abstractNumId w:val="47"/>
  </w:num>
  <w:num w:numId="54">
    <w:abstractNumId w:val="48"/>
  </w:num>
  <w:num w:numId="55">
    <w:abstractNumId w:val="31"/>
  </w:num>
  <w:num w:numId="56">
    <w:abstractNumId w:val="66"/>
  </w:num>
  <w:num w:numId="57">
    <w:abstractNumId w:val="56"/>
  </w:num>
  <w:num w:numId="58">
    <w:abstractNumId w:val="38"/>
  </w:num>
  <w:num w:numId="59">
    <w:abstractNumId w:val="57"/>
  </w:num>
  <w:num w:numId="60">
    <w:abstractNumId w:val="18"/>
  </w:num>
  <w:num w:numId="61">
    <w:abstractNumId w:val="70"/>
  </w:num>
  <w:num w:numId="62">
    <w:abstractNumId w:val="50"/>
  </w:num>
  <w:num w:numId="63">
    <w:abstractNumId w:val="67"/>
  </w:num>
  <w:num w:numId="64">
    <w:abstractNumId w:val="45"/>
  </w:num>
  <w:num w:numId="65">
    <w:abstractNumId w:val="27"/>
  </w:num>
  <w:num w:numId="66">
    <w:abstractNumId w:val="51"/>
  </w:num>
  <w:num w:numId="67">
    <w:abstractNumId w:val="17"/>
  </w:num>
  <w:num w:numId="68">
    <w:abstractNumId w:val="69"/>
  </w:num>
  <w:num w:numId="69">
    <w:abstractNumId w:val="13"/>
  </w:num>
  <w:num w:numId="70">
    <w:abstractNumId w:val="40"/>
  </w:num>
  <w:num w:numId="71">
    <w:abstractNumId w:val="63"/>
  </w:num>
  <w:num w:numId="72">
    <w:abstractNumId w:val="42"/>
  </w:num>
  <w:num w:numId="73">
    <w:abstractNumId w:val="53"/>
  </w:num>
  <w:num w:numId="74">
    <w:abstractNumId w:val="85"/>
  </w:num>
  <w:num w:numId="75">
    <w:abstractNumId w:val="36"/>
  </w:num>
  <w:num w:numId="76">
    <w:abstractNumId w:val="28"/>
  </w:num>
  <w:num w:numId="77">
    <w:abstractNumId w:val="12"/>
  </w:num>
  <w:num w:numId="78">
    <w:abstractNumId w:val="88"/>
  </w:num>
  <w:num w:numId="79">
    <w:abstractNumId w:val="33"/>
  </w:num>
  <w:num w:numId="80">
    <w:abstractNumId w:val="20"/>
  </w:num>
  <w:num w:numId="81">
    <w:abstractNumId w:val="62"/>
  </w:num>
  <w:num w:numId="82">
    <w:abstractNumId w:val="37"/>
  </w:num>
  <w:num w:numId="83">
    <w:abstractNumId w:val="9"/>
  </w:num>
  <w:num w:numId="84">
    <w:abstractNumId w:val="78"/>
  </w:num>
  <w:num w:numId="85">
    <w:abstractNumId w:val="23"/>
  </w:num>
  <w:num w:numId="86">
    <w:abstractNumId w:val="15"/>
  </w:num>
  <w:num w:numId="87">
    <w:abstractNumId w:val="8"/>
  </w:num>
  <w:num w:numId="88">
    <w:abstractNumId w:val="11"/>
  </w:num>
  <w:num w:numId="89">
    <w:abstractNumId w:val="14"/>
  </w:num>
  <w:num w:numId="90">
    <w:abstractNumId w:val="5"/>
  </w:num>
  <w:num w:numId="91">
    <w:abstractNumId w:val="55"/>
  </w:num>
  <w:num w:numId="92">
    <w:abstractNumId w:val="24"/>
  </w:num>
  <w:num w:numId="93">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9DE0D04"/>
    <w:rsid w:val="4796394E"/>
    <w:rsid w:val="4E4267D7"/>
    <w:rsid w:val="53B52A49"/>
    <w:rsid w:val="69EA14F4"/>
    <w:rsid w:val="6E3E3B2E"/>
    <w:rsid w:val="75F82BDA"/>
    <w:rsid w:val="76345FF7"/>
    <w:rsid w:val="7BC272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2280"/>
      <w:outlineLvl w:val="1"/>
    </w:pPr>
    <w:rPr>
      <w:rFonts w:ascii="微软雅黑" w:hAnsi="微软雅黑" w:eastAsia="微软雅黑" w:cs="微软雅黑"/>
      <w:b/>
      <w:bCs/>
      <w:sz w:val="24"/>
      <w:szCs w:val="24"/>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
      <w:ind w:left="1800"/>
    </w:pPr>
    <w:rPr>
      <w:rFonts w:ascii="宋体" w:hAnsi="宋体" w:eastAsia="宋体" w:cs="宋体"/>
      <w:sz w:val="24"/>
      <w:szCs w:val="24"/>
      <w:lang w:val="zh-CN" w:eastAsia="zh-CN" w:bidi="zh-CN"/>
    </w:rPr>
  </w:style>
  <w:style w:type="paragraph" w:styleId="4">
    <w:name w:val="toc 1"/>
    <w:basedOn w:val="1"/>
    <w:next w:val="1"/>
    <w:qFormat/>
    <w:uiPriority w:val="1"/>
    <w:pPr>
      <w:spacing w:before="182"/>
      <w:ind w:left="1799"/>
    </w:pPr>
    <w:rPr>
      <w:rFonts w:ascii="微软雅黑" w:hAnsi="微软雅黑" w:eastAsia="微软雅黑" w:cs="微软雅黑"/>
      <w:sz w:val="24"/>
      <w:szCs w:val="24"/>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
      <w:ind w:left="1800" w:firstLine="480"/>
    </w:pPr>
    <w:rPr>
      <w:rFonts w:ascii="微软雅黑" w:hAnsi="微软雅黑" w:eastAsia="微软雅黑" w:cs="微软雅黑"/>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image" Target="media/image3.jpe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1027"/>
    <customShpInfo spid="_x0000_s1028"/>
    <customShpInfo spid="_x0000_s1026"/>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57656</Words>
  <Characters>58633</Characters>
  <TotalTime>99</TotalTime>
  <ScaleCrop>false</ScaleCrop>
  <LinksUpToDate>false</LinksUpToDate>
  <CharactersWithSpaces>59699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2021-07-23T08:21:00Z</dcterms:created>
  <dc:creator>xu_yh_1975</dc:creator>
  <cp:lastModifiedBy>徐运海</cp:lastModifiedBy>
  <dcterms:modified xsi:type="dcterms:W3CDTF">2022-04-19T01:05:52Z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2021-07-23T00:00:00Z</vt:filetime>
  </property>
  <property fmtid="{D5CDD505-2E9C-101B-9397-08002B2CF9AE}" pid="3" name="Creator">
    <vt:lpwstr>WPS 文字</vt:lpwstr>
  </property>
  <property fmtid="{D5CDD505-2E9C-101B-9397-08002B2CF9AE}" pid="4" name="LastSaved">
    <vt:filetime>2021-07-23T00:00:00Z</vt:filetime>
  </property>
  <property fmtid="{D5CDD505-2E9C-101B-9397-08002B2CF9AE}" pid="5" name="KSOProductBuildVer">
    <vt:lpwstr>2052-11.1.0.11365</vt:lpwstr>
  </property>
  <property fmtid="{D5CDD505-2E9C-101B-9397-08002B2CF9AE}" pid="6" name="ICV">
    <vt:lpwstr>CF046F7365074335856911C00B00DCAD</vt:lpwstr>
  </property>
</Properties>
</file>